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F5" w:rsidRDefault="00265BBD" w:rsidP="00265BBD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-153035</wp:posOffset>
            </wp:positionV>
            <wp:extent cx="4175760" cy="624840"/>
            <wp:effectExtent l="0" t="0" r="0" b="3810"/>
            <wp:wrapSquare wrapText="bothSides"/>
            <wp:docPr id="1" name="Image 1" descr="Logo Hop coul 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op coul 10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BBD" w:rsidRDefault="00265BBD">
      <w:pPr>
        <w:rPr>
          <w:rFonts w:ascii="Georgia" w:hAnsi="Georgia"/>
        </w:rPr>
      </w:pPr>
    </w:p>
    <w:p w:rsidR="00265BBD" w:rsidRDefault="00265BBD">
      <w:pPr>
        <w:rPr>
          <w:rFonts w:ascii="Georgia" w:hAnsi="Georgia"/>
        </w:rPr>
      </w:pPr>
    </w:p>
    <w:p w:rsidR="00265BBD" w:rsidRPr="00931537" w:rsidRDefault="00265BBD" w:rsidP="00265BBD">
      <w:pPr>
        <w:pStyle w:val="Pieddepage"/>
        <w:jc w:val="center"/>
        <w:rPr>
          <w:rFonts w:ascii="Calibri" w:hAnsi="Calibri"/>
          <w:sz w:val="14"/>
          <w:szCs w:val="14"/>
        </w:rPr>
      </w:pPr>
      <w:r w:rsidRPr="00931537">
        <w:rPr>
          <w:rFonts w:ascii="Calibri" w:hAnsi="Calibri"/>
          <w:sz w:val="14"/>
          <w:szCs w:val="14"/>
        </w:rPr>
        <w:t xml:space="preserve">5-7, Rue Pierre et Marie Curie </w:t>
      </w:r>
      <w:r>
        <w:rPr>
          <w:rFonts w:ascii="Calibri" w:hAnsi="Calibri"/>
          <w:sz w:val="14"/>
          <w:szCs w:val="14"/>
        </w:rPr>
        <w:t>–</w:t>
      </w:r>
      <w:r w:rsidRPr="00931537">
        <w:rPr>
          <w:rFonts w:ascii="Calibri" w:hAnsi="Calibri"/>
          <w:sz w:val="14"/>
          <w:szCs w:val="14"/>
        </w:rPr>
        <w:t xml:space="preserve"> 78</w:t>
      </w:r>
      <w:r>
        <w:rPr>
          <w:rFonts w:ascii="Calibri" w:hAnsi="Calibri"/>
          <w:sz w:val="14"/>
          <w:szCs w:val="14"/>
        </w:rPr>
        <w:t xml:space="preserve"> </w:t>
      </w:r>
      <w:r w:rsidRPr="00931537">
        <w:rPr>
          <w:rFonts w:ascii="Calibri" w:hAnsi="Calibri"/>
          <w:sz w:val="14"/>
          <w:szCs w:val="14"/>
        </w:rPr>
        <w:t>514 RAMBOUILLET CEDEX</w:t>
      </w:r>
    </w:p>
    <w:p w:rsidR="00265BBD" w:rsidRDefault="00265BBD">
      <w:pPr>
        <w:rPr>
          <w:rFonts w:ascii="Georgia" w:hAnsi="Georgia"/>
        </w:rPr>
      </w:pPr>
    </w:p>
    <w:p w:rsidR="00265BBD" w:rsidRDefault="00B233CB" w:rsidP="00265BBD">
      <w:pPr>
        <w:jc w:val="center"/>
        <w:rPr>
          <w:rFonts w:ascii="Georgia" w:hAnsi="Georgia"/>
        </w:rPr>
      </w:pPr>
      <w:r>
        <w:rPr>
          <w:rFonts w:ascii="Georgia" w:hAnsi="Georgia"/>
        </w:rPr>
        <w:pict>
          <v:rect id="_x0000_i1025" style="width:0;height:1.5pt" o:hralign="center" o:hrstd="t" o:hr="t" fillcolor="#a0a0a0" stroked="f"/>
        </w:pict>
      </w:r>
    </w:p>
    <w:p w:rsidR="00265BBD" w:rsidRPr="0099052E" w:rsidRDefault="00265BBD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9147"/>
      </w:tblGrid>
      <w:tr w:rsidR="00BB64F5" w:rsidRPr="009C38A9" w:rsidTr="005B6866">
        <w:tc>
          <w:tcPr>
            <w:tcW w:w="9212" w:type="dxa"/>
            <w:shd w:val="clear" w:color="auto" w:fill="DBE5F1" w:themeFill="accent1" w:themeFillTint="33"/>
          </w:tcPr>
          <w:p w:rsidR="00BB64F5" w:rsidRPr="009C38A9" w:rsidRDefault="00BB64F5" w:rsidP="00BB64F5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BB64F5" w:rsidRPr="00951B9C" w:rsidRDefault="00BB64F5" w:rsidP="00BB64F5">
            <w:pPr>
              <w:jc w:val="center"/>
              <w:rPr>
                <w:b/>
                <w:szCs w:val="32"/>
              </w:rPr>
            </w:pPr>
            <w:r w:rsidRPr="00951B9C">
              <w:rPr>
                <w:b/>
                <w:szCs w:val="32"/>
              </w:rPr>
              <w:t xml:space="preserve">FICHE DE POSTE </w:t>
            </w:r>
          </w:p>
          <w:p w:rsidR="00BB64F5" w:rsidRDefault="00BB64F5" w:rsidP="00BB64F5">
            <w:pPr>
              <w:jc w:val="center"/>
              <w:rPr>
                <w:b/>
                <w:sz w:val="22"/>
                <w:szCs w:val="32"/>
              </w:rPr>
            </w:pPr>
          </w:p>
          <w:p w:rsidR="00BB64F5" w:rsidRDefault="0077579B" w:rsidP="00265BBD">
            <w:pPr>
              <w:jc w:val="center"/>
              <w:rPr>
                <w:b/>
              </w:rPr>
            </w:pPr>
            <w:r>
              <w:rPr>
                <w:b/>
              </w:rPr>
              <w:t>Assistant spécialiste</w:t>
            </w:r>
            <w:r w:rsidR="00265BBD">
              <w:rPr>
                <w:b/>
              </w:rPr>
              <w:t xml:space="preserve"> Temps Plein, </w:t>
            </w:r>
            <w:r>
              <w:rPr>
                <w:b/>
              </w:rPr>
              <w:t xml:space="preserve">en pharmacie hospitalière </w:t>
            </w:r>
            <w:r w:rsidR="00265BBD">
              <w:rPr>
                <w:b/>
              </w:rPr>
              <w:t>du Centre Hospitalier de Rambouillet</w:t>
            </w:r>
          </w:p>
          <w:p w:rsidR="00265BBD" w:rsidRPr="009C38A9" w:rsidRDefault="00265BBD" w:rsidP="00265BBD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</w:tr>
    </w:tbl>
    <w:p w:rsidR="00056FC7" w:rsidRPr="00A36C4B" w:rsidRDefault="00056FC7">
      <w:pPr>
        <w:rPr>
          <w:rFonts w:ascii="Georgia" w:hAnsi="Georgi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9180"/>
      </w:tblGrid>
      <w:tr w:rsidR="003F5844" w:rsidRPr="009C38A9" w:rsidTr="005F46DF">
        <w:tc>
          <w:tcPr>
            <w:tcW w:w="9180" w:type="dxa"/>
            <w:shd w:val="clear" w:color="auto" w:fill="DBE5F1" w:themeFill="accent1" w:themeFillTint="33"/>
          </w:tcPr>
          <w:p w:rsidR="003F5844" w:rsidRPr="008F182E" w:rsidRDefault="003F5844" w:rsidP="00265BBD">
            <w:pPr>
              <w:rPr>
                <w:sz w:val="22"/>
              </w:rPr>
            </w:pPr>
          </w:p>
          <w:p w:rsidR="003F5844" w:rsidRPr="003F5844" w:rsidRDefault="003F5844" w:rsidP="00265BBD">
            <w:pPr>
              <w:rPr>
                <w:sz w:val="22"/>
              </w:rPr>
            </w:pPr>
            <w:r>
              <w:rPr>
                <w:b/>
                <w:sz w:val="22"/>
              </w:rPr>
              <w:t>Etablissement de recrutement</w:t>
            </w:r>
            <w:r w:rsidRPr="008F182E">
              <w:rPr>
                <w:sz w:val="22"/>
              </w:rPr>
              <w:t xml:space="preserve"> : </w:t>
            </w:r>
            <w:r>
              <w:rPr>
                <w:sz w:val="22"/>
                <w:szCs w:val="22"/>
              </w:rPr>
              <w:t>Centre Hospitalier de Rambouillet</w:t>
            </w:r>
          </w:p>
          <w:p w:rsidR="003F5844" w:rsidRPr="008F182E" w:rsidRDefault="003F5844" w:rsidP="00265BBD">
            <w:pPr>
              <w:rPr>
                <w:sz w:val="22"/>
              </w:rPr>
            </w:pPr>
          </w:p>
          <w:p w:rsidR="003F5844" w:rsidRPr="003F5844" w:rsidRDefault="003F5844" w:rsidP="00265BBD">
            <w:pPr>
              <w:rPr>
                <w:sz w:val="22"/>
              </w:rPr>
            </w:pPr>
            <w:r w:rsidRPr="008F182E">
              <w:rPr>
                <w:b/>
                <w:sz w:val="22"/>
              </w:rPr>
              <w:t>Adresse </w:t>
            </w:r>
            <w:r w:rsidRPr="008F182E">
              <w:rPr>
                <w:sz w:val="22"/>
              </w:rPr>
              <w:t xml:space="preserve">: </w:t>
            </w:r>
            <w:r>
              <w:rPr>
                <w:sz w:val="22"/>
                <w:szCs w:val="22"/>
              </w:rPr>
              <w:t>5-7, rue Pierre et Marie Curie</w:t>
            </w:r>
            <w:r>
              <w:rPr>
                <w:sz w:val="22"/>
              </w:rPr>
              <w:t xml:space="preserve"> - </w:t>
            </w:r>
            <w:r>
              <w:rPr>
                <w:sz w:val="22"/>
                <w:szCs w:val="22"/>
              </w:rPr>
              <w:t>7</w:t>
            </w:r>
            <w:r w:rsidRPr="008F182E">
              <w:rPr>
                <w:sz w:val="22"/>
                <w:szCs w:val="22"/>
              </w:rPr>
              <w:t>8 </w:t>
            </w:r>
            <w:r>
              <w:rPr>
                <w:sz w:val="22"/>
                <w:szCs w:val="22"/>
              </w:rPr>
              <w:t>514</w:t>
            </w:r>
            <w:r w:rsidRPr="008F18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RAMBOUILLET C</w:t>
            </w:r>
            <w:r w:rsidRPr="008F182E">
              <w:rPr>
                <w:sz w:val="22"/>
                <w:szCs w:val="22"/>
              </w:rPr>
              <w:t>edex</w:t>
            </w:r>
          </w:p>
          <w:p w:rsidR="003F5844" w:rsidRPr="008F182E" w:rsidRDefault="003F5844" w:rsidP="00265BBD">
            <w:pPr>
              <w:ind w:left="1080"/>
              <w:rPr>
                <w:sz w:val="22"/>
              </w:rPr>
            </w:pPr>
          </w:p>
          <w:p w:rsidR="003F5844" w:rsidRPr="008F182E" w:rsidRDefault="003F5844" w:rsidP="00265BBD">
            <w:pPr>
              <w:rPr>
                <w:sz w:val="22"/>
              </w:rPr>
            </w:pPr>
            <w:r>
              <w:rPr>
                <w:b/>
                <w:sz w:val="22"/>
              </w:rPr>
              <w:t>Contributeurs/rédacteurs du présent document</w:t>
            </w:r>
            <w:r w:rsidRPr="008F182E">
              <w:rPr>
                <w:b/>
                <w:sz w:val="22"/>
              </w:rPr>
              <w:t> </w:t>
            </w:r>
            <w:r w:rsidRPr="008F182E">
              <w:rPr>
                <w:sz w:val="22"/>
              </w:rPr>
              <w:t xml:space="preserve">: </w:t>
            </w:r>
          </w:p>
          <w:p w:rsidR="003F5844" w:rsidRDefault="003F5844" w:rsidP="00265B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Docteur Olivier CHAUFFERT, </w:t>
            </w:r>
            <w:r w:rsidR="0077579B">
              <w:rPr>
                <w:sz w:val="22"/>
                <w:szCs w:val="22"/>
              </w:rPr>
              <w:t xml:space="preserve"> pharmacien chef de service</w:t>
            </w:r>
            <w:r>
              <w:rPr>
                <w:sz w:val="22"/>
                <w:szCs w:val="22"/>
              </w:rPr>
              <w:t xml:space="preserve"> – CH Rambouillet</w:t>
            </w:r>
          </w:p>
          <w:p w:rsidR="003F5844" w:rsidRDefault="003F5844" w:rsidP="00265BBD">
            <w:pPr>
              <w:rPr>
                <w:color w:val="FF0000"/>
                <w:sz w:val="22"/>
              </w:rPr>
            </w:pPr>
          </w:p>
          <w:p w:rsidR="003F5844" w:rsidRPr="00126F83" w:rsidRDefault="003F5844" w:rsidP="00265BBD">
            <w:pPr>
              <w:rPr>
                <w:b/>
                <w:sz w:val="22"/>
              </w:rPr>
            </w:pPr>
            <w:r w:rsidRPr="003F5844">
              <w:rPr>
                <w:b/>
                <w:sz w:val="22"/>
              </w:rPr>
              <w:t>Contacts :</w:t>
            </w:r>
          </w:p>
          <w:p w:rsidR="009E7851" w:rsidRPr="009E7851" w:rsidRDefault="009E7851" w:rsidP="001D722D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both"/>
              <w:rPr>
                <w:sz w:val="22"/>
              </w:rPr>
            </w:pPr>
            <w:r w:rsidRPr="009E7851">
              <w:rPr>
                <w:sz w:val="22"/>
              </w:rPr>
              <w:t>Dr Olivier CHAUFFERT, (</w:t>
            </w:r>
            <w:proofErr w:type="spellStart"/>
            <w:r w:rsidR="00D527C9">
              <w:rPr>
                <w:sz w:val="22"/>
              </w:rPr>
              <w:t>o</w:t>
            </w:r>
            <w:r w:rsidRPr="009E7851">
              <w:rPr>
                <w:sz w:val="22"/>
              </w:rPr>
              <w:t>.chauffert@ch-rambouillet</w:t>
            </w:r>
            <w:proofErr w:type="spellEnd"/>
            <w:r w:rsidRPr="009E7851">
              <w:rPr>
                <w:sz w:val="22"/>
              </w:rPr>
              <w:t>)</w:t>
            </w:r>
          </w:p>
          <w:p w:rsidR="003F5844" w:rsidRPr="009E7851" w:rsidRDefault="003F5844" w:rsidP="0077579B">
            <w:pPr>
              <w:pStyle w:val="Paragraphedeliste"/>
              <w:tabs>
                <w:tab w:val="left" w:pos="284"/>
              </w:tabs>
              <w:ind w:left="284"/>
              <w:jc w:val="both"/>
              <w:rPr>
                <w:b/>
                <w:color w:val="FF0000"/>
                <w:sz w:val="22"/>
              </w:rPr>
            </w:pPr>
          </w:p>
        </w:tc>
      </w:tr>
    </w:tbl>
    <w:p w:rsidR="00BB64F5" w:rsidRDefault="00BB64F5">
      <w:pPr>
        <w:rPr>
          <w:rFonts w:ascii="Georgia" w:hAnsi="Georgia"/>
        </w:rPr>
      </w:pPr>
    </w:p>
    <w:p w:rsidR="009E7851" w:rsidRDefault="009E7851">
      <w:pPr>
        <w:rPr>
          <w:rFonts w:ascii="Georgia" w:hAnsi="Georgi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12"/>
      </w:tblGrid>
      <w:tr w:rsidR="00BB64F5" w:rsidRPr="009C38A9" w:rsidTr="00265BBD">
        <w:tc>
          <w:tcPr>
            <w:tcW w:w="9212" w:type="dxa"/>
            <w:shd w:val="clear" w:color="auto" w:fill="DBE5F1" w:themeFill="accent1" w:themeFillTint="33"/>
          </w:tcPr>
          <w:p w:rsidR="00BB64F5" w:rsidRPr="002011DB" w:rsidRDefault="00BB64F5" w:rsidP="001D722D">
            <w:pPr>
              <w:pStyle w:val="Paragraphedeliste"/>
              <w:numPr>
                <w:ilvl w:val="0"/>
                <w:numId w:val="2"/>
              </w:numPr>
              <w:shd w:val="clear" w:color="auto" w:fill="DBE5F1" w:themeFill="accent1" w:themeFillTint="33"/>
              <w:tabs>
                <w:tab w:val="left" w:pos="567"/>
              </w:tabs>
              <w:ind w:left="567" w:hanging="567"/>
              <w:rPr>
                <w:b/>
              </w:rPr>
            </w:pPr>
            <w:r w:rsidRPr="002011DB">
              <w:rPr>
                <w:b/>
                <w:sz w:val="28"/>
              </w:rPr>
              <w:t>Présentation générale</w:t>
            </w:r>
            <w:r w:rsidR="003F5844" w:rsidRPr="002011DB">
              <w:rPr>
                <w:b/>
                <w:sz w:val="28"/>
              </w:rPr>
              <w:t xml:space="preserve"> de l’Etablissement</w:t>
            </w:r>
          </w:p>
        </w:tc>
      </w:tr>
      <w:tr w:rsidR="00BB64F5" w:rsidRPr="008F182E" w:rsidTr="00265BBD">
        <w:tc>
          <w:tcPr>
            <w:tcW w:w="9212" w:type="dxa"/>
          </w:tcPr>
          <w:p w:rsidR="003F5844" w:rsidRDefault="003F5844" w:rsidP="00BB64F5">
            <w:pPr>
              <w:jc w:val="both"/>
              <w:rPr>
                <w:sz w:val="22"/>
              </w:rPr>
            </w:pPr>
          </w:p>
          <w:p w:rsidR="001C0F68" w:rsidRPr="001C0F68" w:rsidRDefault="001C0F68" w:rsidP="001C0F68">
            <w:pPr>
              <w:jc w:val="both"/>
              <w:rPr>
                <w:sz w:val="22"/>
              </w:rPr>
            </w:pPr>
            <w:r w:rsidRPr="001C0F68">
              <w:rPr>
                <w:sz w:val="22"/>
              </w:rPr>
              <w:t xml:space="preserve">Le </w:t>
            </w:r>
            <w:r>
              <w:rPr>
                <w:sz w:val="22"/>
              </w:rPr>
              <w:t xml:space="preserve">Centre Hospitalier </w:t>
            </w:r>
            <w:r w:rsidR="00FC094D">
              <w:rPr>
                <w:sz w:val="22"/>
              </w:rPr>
              <w:t xml:space="preserve">de Rambouillet est un établissement public de santé de proximité </w:t>
            </w:r>
            <w:r w:rsidRPr="007A6305">
              <w:rPr>
                <w:sz w:val="22"/>
              </w:rPr>
              <w:t>(3</w:t>
            </w:r>
            <w:r w:rsidR="003F5844">
              <w:rPr>
                <w:sz w:val="22"/>
              </w:rPr>
              <w:t>5</w:t>
            </w:r>
            <w:r w:rsidRPr="007A6305">
              <w:rPr>
                <w:sz w:val="22"/>
              </w:rPr>
              <w:t xml:space="preserve"> </w:t>
            </w:r>
            <w:r>
              <w:rPr>
                <w:sz w:val="22"/>
              </w:rPr>
              <w:t>mn</w:t>
            </w:r>
            <w:r w:rsidRPr="007A630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de la </w:t>
            </w:r>
            <w:r w:rsidRPr="007A6305">
              <w:rPr>
                <w:sz w:val="22"/>
              </w:rPr>
              <w:t xml:space="preserve">gare </w:t>
            </w:r>
            <w:r>
              <w:rPr>
                <w:sz w:val="22"/>
              </w:rPr>
              <w:t>PARIS-Montparnasse)</w:t>
            </w:r>
            <w:r w:rsidR="005412F0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DA33E6">
              <w:rPr>
                <w:sz w:val="22"/>
              </w:rPr>
              <w:t>implanté dans le</w:t>
            </w:r>
            <w:r w:rsidRPr="001C0F68">
              <w:rPr>
                <w:sz w:val="22"/>
              </w:rPr>
              <w:t xml:space="preserve"> sud-ouest francilien</w:t>
            </w:r>
            <w:r w:rsidR="005412F0">
              <w:rPr>
                <w:sz w:val="22"/>
              </w:rPr>
              <w:t xml:space="preserve"> dans une zone semi-rurale </w:t>
            </w:r>
            <w:r w:rsidRPr="007A6305">
              <w:rPr>
                <w:sz w:val="22"/>
              </w:rPr>
              <w:t xml:space="preserve">mais également de type « grande </w:t>
            </w:r>
            <w:r>
              <w:rPr>
                <w:sz w:val="22"/>
              </w:rPr>
              <w:t>couronne parisienne »</w:t>
            </w:r>
            <w:r w:rsidRPr="001C0F68">
              <w:rPr>
                <w:sz w:val="22"/>
              </w:rPr>
              <w:t>, caractérisé</w:t>
            </w:r>
            <w:r w:rsidR="00880CE6">
              <w:rPr>
                <w:sz w:val="22"/>
              </w:rPr>
              <w:t>e</w:t>
            </w:r>
            <w:r w:rsidRPr="001C0F68">
              <w:rPr>
                <w:sz w:val="22"/>
              </w:rPr>
              <w:t xml:space="preserve"> par un habitat clairsemé et une évolution démographique positive. La zone d'attractivité de l'établissement </w:t>
            </w:r>
            <w:r>
              <w:rPr>
                <w:sz w:val="22"/>
              </w:rPr>
              <w:t>couvre</w:t>
            </w:r>
            <w:r w:rsidRPr="001C0F6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le </w:t>
            </w:r>
            <w:r w:rsidRPr="007A6305">
              <w:rPr>
                <w:sz w:val="22"/>
              </w:rPr>
              <w:t>Sud du département des Yvelines</w:t>
            </w:r>
            <w:r w:rsidRPr="001C0F68">
              <w:rPr>
                <w:sz w:val="22"/>
              </w:rPr>
              <w:t xml:space="preserve"> et déborde sur les communes limitrophes de l'Eure-et-Loir et de l'Essonne</w:t>
            </w:r>
            <w:r w:rsidR="002011DB">
              <w:rPr>
                <w:sz w:val="22"/>
              </w:rPr>
              <w:t>, soit une population d’environ 210 000 habitants</w:t>
            </w:r>
            <w:r w:rsidRPr="001C0F68">
              <w:rPr>
                <w:sz w:val="22"/>
              </w:rPr>
              <w:t>.</w:t>
            </w:r>
          </w:p>
          <w:p w:rsidR="001C0F68" w:rsidRPr="001C0F68" w:rsidRDefault="001C0F68" w:rsidP="001C0F68">
            <w:pPr>
              <w:jc w:val="both"/>
              <w:rPr>
                <w:sz w:val="22"/>
              </w:rPr>
            </w:pPr>
          </w:p>
          <w:p w:rsidR="001C0F68" w:rsidRDefault="00880CE6" w:rsidP="001C0F68">
            <w:pPr>
              <w:jc w:val="both"/>
              <w:rPr>
                <w:sz w:val="22"/>
              </w:rPr>
            </w:pPr>
            <w:r>
              <w:rPr>
                <w:sz w:val="22"/>
              </w:rPr>
              <w:t>L’établissement répond</w:t>
            </w:r>
            <w:r w:rsidR="001C0F68" w:rsidRPr="001C0F68">
              <w:rPr>
                <w:sz w:val="22"/>
              </w:rPr>
              <w:t xml:space="preserve"> sur </w:t>
            </w:r>
            <w:r w:rsidR="002011DB">
              <w:rPr>
                <w:sz w:val="22"/>
              </w:rPr>
              <w:t xml:space="preserve">sa zone de proximité </w:t>
            </w:r>
            <w:r w:rsidR="001C0F68" w:rsidRPr="001C0F68">
              <w:rPr>
                <w:sz w:val="22"/>
              </w:rPr>
              <w:t xml:space="preserve">à un besoin </w:t>
            </w:r>
            <w:r>
              <w:rPr>
                <w:sz w:val="22"/>
              </w:rPr>
              <w:t xml:space="preserve">légitime </w:t>
            </w:r>
            <w:r w:rsidR="00926455">
              <w:rPr>
                <w:sz w:val="22"/>
              </w:rPr>
              <w:t xml:space="preserve">bien identifié </w:t>
            </w:r>
            <w:r>
              <w:rPr>
                <w:sz w:val="22"/>
              </w:rPr>
              <w:t>dans le</w:t>
            </w:r>
            <w:r w:rsidR="002011DB">
              <w:rPr>
                <w:sz w:val="22"/>
              </w:rPr>
              <w:t xml:space="preserve"> champ Médecine/Chirurgie/Obstétrique</w:t>
            </w:r>
          </w:p>
          <w:p w:rsidR="008454F9" w:rsidRDefault="008454F9" w:rsidP="001C0F68">
            <w:pPr>
              <w:jc w:val="both"/>
              <w:rPr>
                <w:sz w:val="22"/>
              </w:rPr>
            </w:pPr>
          </w:p>
          <w:p w:rsidR="009E7851" w:rsidRDefault="007A6305" w:rsidP="001C0F6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Il développe </w:t>
            </w:r>
            <w:r w:rsidR="008454F9">
              <w:rPr>
                <w:sz w:val="22"/>
              </w:rPr>
              <w:t xml:space="preserve">en synthèse </w:t>
            </w:r>
            <w:r>
              <w:rPr>
                <w:sz w:val="22"/>
              </w:rPr>
              <w:t>les activités suivantes :</w:t>
            </w:r>
          </w:p>
          <w:p w:rsidR="002011DB" w:rsidRDefault="002011DB" w:rsidP="001C0F68">
            <w:pPr>
              <w:jc w:val="both"/>
              <w:rPr>
                <w:sz w:val="22"/>
              </w:rPr>
            </w:pPr>
          </w:p>
          <w:p w:rsidR="002011DB" w:rsidRDefault="002011DB" w:rsidP="00126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</w:rPr>
            </w:pPr>
            <w:r w:rsidRPr="00D51151">
              <w:rPr>
                <w:b/>
                <w:sz w:val="22"/>
              </w:rPr>
              <w:t>Capacités</w:t>
            </w:r>
            <w:r>
              <w:rPr>
                <w:sz w:val="22"/>
              </w:rPr>
              <w:t> </w:t>
            </w:r>
            <w:r w:rsidRPr="001A4245">
              <w:rPr>
                <w:b/>
                <w:sz w:val="22"/>
              </w:rPr>
              <w:t>au 1</w:t>
            </w:r>
            <w:r w:rsidRPr="001A4245">
              <w:rPr>
                <w:b/>
                <w:sz w:val="22"/>
                <w:vertAlign w:val="superscript"/>
              </w:rPr>
              <w:t>er</w:t>
            </w:r>
            <w:r w:rsidRPr="001A424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janvier 2017</w:t>
            </w:r>
            <w:r w:rsidRPr="007A6305">
              <w:rPr>
                <w:sz w:val="22"/>
              </w:rPr>
              <w:t xml:space="preserve">: </w:t>
            </w:r>
          </w:p>
          <w:p w:rsidR="002011DB" w:rsidRDefault="002011DB" w:rsidP="002011DB">
            <w:pPr>
              <w:jc w:val="both"/>
              <w:rPr>
                <w:sz w:val="22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134"/>
              <w:gridCol w:w="2409"/>
              <w:gridCol w:w="2410"/>
            </w:tblGrid>
            <w:tr w:rsidR="002011DB" w:rsidTr="005F46DF">
              <w:tc>
                <w:tcPr>
                  <w:tcW w:w="2122" w:type="dxa"/>
                  <w:shd w:val="clear" w:color="auto" w:fill="EEECE1" w:themeFill="background2"/>
                  <w:vAlign w:val="center"/>
                </w:tcPr>
                <w:p w:rsidR="002011DB" w:rsidRPr="00D51151" w:rsidRDefault="002011DB" w:rsidP="005F46DF">
                  <w:pPr>
                    <w:jc w:val="center"/>
                    <w:rPr>
                      <w:b/>
                      <w:sz w:val="22"/>
                    </w:rPr>
                  </w:pPr>
                  <w:r w:rsidRPr="00D51151">
                    <w:rPr>
                      <w:b/>
                      <w:sz w:val="22"/>
                    </w:rPr>
                    <w:t>Activités</w:t>
                  </w:r>
                </w:p>
              </w:tc>
              <w:tc>
                <w:tcPr>
                  <w:tcW w:w="1134" w:type="dxa"/>
                  <w:shd w:val="clear" w:color="auto" w:fill="EEECE1" w:themeFill="background2"/>
                  <w:vAlign w:val="center"/>
                </w:tcPr>
                <w:p w:rsidR="002011DB" w:rsidRPr="00D51151" w:rsidRDefault="002011DB" w:rsidP="005F46DF">
                  <w:pPr>
                    <w:jc w:val="center"/>
                    <w:rPr>
                      <w:b/>
                      <w:sz w:val="22"/>
                    </w:rPr>
                  </w:pPr>
                  <w:r w:rsidRPr="00D51151">
                    <w:rPr>
                      <w:b/>
                      <w:sz w:val="22"/>
                    </w:rPr>
                    <w:t>Lits</w:t>
                  </w:r>
                </w:p>
              </w:tc>
              <w:tc>
                <w:tcPr>
                  <w:tcW w:w="2409" w:type="dxa"/>
                  <w:shd w:val="clear" w:color="auto" w:fill="EEECE1" w:themeFill="background2"/>
                  <w:vAlign w:val="center"/>
                </w:tcPr>
                <w:p w:rsidR="002011DB" w:rsidRPr="00D51151" w:rsidRDefault="002011DB" w:rsidP="005F46DF">
                  <w:pPr>
                    <w:jc w:val="center"/>
                    <w:rPr>
                      <w:b/>
                      <w:sz w:val="22"/>
                    </w:rPr>
                  </w:pPr>
                  <w:r w:rsidRPr="00D51151">
                    <w:rPr>
                      <w:b/>
                      <w:sz w:val="22"/>
                    </w:rPr>
                    <w:t>Places/postes</w:t>
                  </w:r>
                </w:p>
              </w:tc>
              <w:tc>
                <w:tcPr>
                  <w:tcW w:w="2410" w:type="dxa"/>
                  <w:shd w:val="clear" w:color="auto" w:fill="EEECE1" w:themeFill="background2"/>
                  <w:vAlign w:val="center"/>
                </w:tcPr>
                <w:p w:rsidR="002011DB" w:rsidRPr="00D51151" w:rsidRDefault="002011DB" w:rsidP="005F46DF">
                  <w:pPr>
                    <w:jc w:val="center"/>
                    <w:rPr>
                      <w:b/>
                      <w:sz w:val="22"/>
                    </w:rPr>
                  </w:pPr>
                  <w:r w:rsidRPr="00D51151">
                    <w:rPr>
                      <w:b/>
                      <w:sz w:val="22"/>
                    </w:rPr>
                    <w:t>Total capacités installées</w:t>
                  </w:r>
                </w:p>
              </w:tc>
            </w:tr>
            <w:tr w:rsidR="002011DB" w:rsidTr="005F46DF">
              <w:tc>
                <w:tcPr>
                  <w:tcW w:w="2122" w:type="dxa"/>
                </w:tcPr>
                <w:p w:rsidR="002011DB" w:rsidRPr="00D51151" w:rsidRDefault="002011DB" w:rsidP="005F46DF">
                  <w:pPr>
                    <w:jc w:val="both"/>
                    <w:rPr>
                      <w:sz w:val="20"/>
                    </w:rPr>
                  </w:pPr>
                  <w:r w:rsidRPr="00D51151">
                    <w:rPr>
                      <w:sz w:val="20"/>
                    </w:rPr>
                    <w:t>MEDECINE</w:t>
                  </w:r>
                </w:p>
              </w:tc>
              <w:tc>
                <w:tcPr>
                  <w:tcW w:w="1134" w:type="dxa"/>
                </w:tcPr>
                <w:p w:rsidR="002011DB" w:rsidRPr="00D51151" w:rsidRDefault="002011DB" w:rsidP="00C03CD6">
                  <w:pPr>
                    <w:jc w:val="center"/>
                    <w:rPr>
                      <w:sz w:val="20"/>
                    </w:rPr>
                  </w:pPr>
                  <w:r w:rsidRPr="00D51151">
                    <w:rPr>
                      <w:sz w:val="20"/>
                    </w:rPr>
                    <w:t>1</w:t>
                  </w:r>
                  <w:r w:rsidR="00C03CD6"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2409" w:type="dxa"/>
                </w:tcPr>
                <w:p w:rsidR="002011DB" w:rsidRPr="00D51151" w:rsidRDefault="002011DB" w:rsidP="005F46D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 w:rsidR="00C03CD6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2011DB" w:rsidRPr="00D51151" w:rsidRDefault="00C03CD6" w:rsidP="005F46D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169</w:t>
                  </w:r>
                </w:p>
              </w:tc>
            </w:tr>
            <w:tr w:rsidR="002011DB" w:rsidTr="005F46DF">
              <w:tc>
                <w:tcPr>
                  <w:tcW w:w="2122" w:type="dxa"/>
                </w:tcPr>
                <w:p w:rsidR="002011DB" w:rsidRPr="00D51151" w:rsidRDefault="002011DB" w:rsidP="005F46DF">
                  <w:pPr>
                    <w:jc w:val="both"/>
                    <w:rPr>
                      <w:sz w:val="20"/>
                    </w:rPr>
                  </w:pPr>
                  <w:r w:rsidRPr="00D51151">
                    <w:rPr>
                      <w:sz w:val="20"/>
                    </w:rPr>
                    <w:t>CHIRURGIE</w:t>
                  </w:r>
                </w:p>
              </w:tc>
              <w:tc>
                <w:tcPr>
                  <w:tcW w:w="1134" w:type="dxa"/>
                </w:tcPr>
                <w:p w:rsidR="002011DB" w:rsidRPr="00D51151" w:rsidRDefault="00D14D8E" w:rsidP="005F46D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2409" w:type="dxa"/>
                </w:tcPr>
                <w:p w:rsidR="002011DB" w:rsidRPr="00D51151" w:rsidRDefault="002011DB" w:rsidP="005F46DF">
                  <w:pPr>
                    <w:jc w:val="center"/>
                    <w:rPr>
                      <w:sz w:val="20"/>
                    </w:rPr>
                  </w:pPr>
                  <w:r w:rsidRPr="00D51151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:rsidR="002011DB" w:rsidRPr="00D51151" w:rsidRDefault="00D14D8E" w:rsidP="005F46D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30</w:t>
                  </w:r>
                </w:p>
              </w:tc>
            </w:tr>
            <w:tr w:rsidR="002011DB" w:rsidTr="005F46DF">
              <w:tc>
                <w:tcPr>
                  <w:tcW w:w="2122" w:type="dxa"/>
                </w:tcPr>
                <w:p w:rsidR="002011DB" w:rsidRPr="00D51151" w:rsidRDefault="002011DB" w:rsidP="005F46DF">
                  <w:pPr>
                    <w:jc w:val="both"/>
                    <w:rPr>
                      <w:sz w:val="20"/>
                    </w:rPr>
                  </w:pPr>
                  <w:r w:rsidRPr="00D51151">
                    <w:rPr>
                      <w:sz w:val="20"/>
                    </w:rPr>
                    <w:t>OBSTETRIQUE</w:t>
                  </w:r>
                </w:p>
              </w:tc>
              <w:tc>
                <w:tcPr>
                  <w:tcW w:w="1134" w:type="dxa"/>
                </w:tcPr>
                <w:p w:rsidR="002011DB" w:rsidRPr="00D51151" w:rsidRDefault="002011DB" w:rsidP="005F46D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2409" w:type="dxa"/>
                </w:tcPr>
                <w:p w:rsidR="002011DB" w:rsidRPr="00D51151" w:rsidRDefault="002011DB" w:rsidP="005F46D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2011DB" w:rsidRPr="00D51151" w:rsidRDefault="002011DB" w:rsidP="005F46D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25</w:t>
                  </w:r>
                </w:p>
              </w:tc>
            </w:tr>
            <w:tr w:rsidR="002011DB" w:rsidTr="005F46DF">
              <w:tc>
                <w:tcPr>
                  <w:tcW w:w="2122" w:type="dxa"/>
                </w:tcPr>
                <w:p w:rsidR="002011DB" w:rsidRPr="002011DB" w:rsidRDefault="002011DB" w:rsidP="005F46DF">
                  <w:pPr>
                    <w:jc w:val="both"/>
                    <w:rPr>
                      <w:color w:val="FF0000"/>
                      <w:sz w:val="22"/>
                    </w:rPr>
                  </w:pPr>
                  <w:r w:rsidRPr="002011DB">
                    <w:rPr>
                      <w:color w:val="FF0000"/>
                      <w:sz w:val="22"/>
                    </w:rPr>
                    <w:t>Sous-Total MCO</w:t>
                  </w:r>
                </w:p>
              </w:tc>
              <w:tc>
                <w:tcPr>
                  <w:tcW w:w="1134" w:type="dxa"/>
                </w:tcPr>
                <w:p w:rsidR="002011DB" w:rsidRPr="002011DB" w:rsidRDefault="002011DB" w:rsidP="005F46DF">
                  <w:pPr>
                    <w:jc w:val="center"/>
                    <w:rPr>
                      <w:color w:val="FF0000"/>
                      <w:sz w:val="22"/>
                    </w:rPr>
                  </w:pPr>
                  <w:r w:rsidRPr="002011DB">
                    <w:rPr>
                      <w:color w:val="FF0000"/>
                      <w:sz w:val="22"/>
                    </w:rPr>
                    <w:t>1</w:t>
                  </w:r>
                  <w:r w:rsidR="00284087">
                    <w:rPr>
                      <w:color w:val="FF0000"/>
                      <w:sz w:val="22"/>
                    </w:rPr>
                    <w:t>67</w:t>
                  </w:r>
                </w:p>
              </w:tc>
              <w:tc>
                <w:tcPr>
                  <w:tcW w:w="2409" w:type="dxa"/>
                </w:tcPr>
                <w:p w:rsidR="002011DB" w:rsidRPr="002011DB" w:rsidRDefault="002011DB" w:rsidP="00A66AFB">
                  <w:pPr>
                    <w:jc w:val="center"/>
                    <w:rPr>
                      <w:color w:val="FF0000"/>
                      <w:sz w:val="22"/>
                    </w:rPr>
                  </w:pPr>
                  <w:r w:rsidRPr="002011DB">
                    <w:rPr>
                      <w:color w:val="FF0000"/>
                      <w:sz w:val="22"/>
                    </w:rPr>
                    <w:t>5</w:t>
                  </w:r>
                  <w:r w:rsidR="00284087">
                    <w:rPr>
                      <w:color w:val="FF0000"/>
                      <w:sz w:val="22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2011DB" w:rsidRPr="002011DB" w:rsidRDefault="002011DB" w:rsidP="005F46DF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  <w:r w:rsidRPr="002011DB">
                    <w:rPr>
                      <w:b/>
                      <w:color w:val="FF0000"/>
                      <w:sz w:val="22"/>
                    </w:rPr>
                    <w:t>2</w:t>
                  </w:r>
                  <w:r w:rsidR="00D14D8E">
                    <w:rPr>
                      <w:b/>
                      <w:color w:val="FF0000"/>
                      <w:sz w:val="22"/>
                    </w:rPr>
                    <w:t>2</w:t>
                  </w:r>
                  <w:r w:rsidR="00284087">
                    <w:rPr>
                      <w:b/>
                      <w:color w:val="FF0000"/>
                      <w:sz w:val="22"/>
                    </w:rPr>
                    <w:t>4</w:t>
                  </w:r>
                </w:p>
              </w:tc>
            </w:tr>
            <w:tr w:rsidR="002011DB" w:rsidTr="005F46DF">
              <w:tc>
                <w:tcPr>
                  <w:tcW w:w="2122" w:type="dxa"/>
                </w:tcPr>
                <w:p w:rsidR="002011DB" w:rsidRDefault="002011DB" w:rsidP="005F46DF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EHPAD</w:t>
                  </w:r>
                </w:p>
              </w:tc>
              <w:tc>
                <w:tcPr>
                  <w:tcW w:w="1134" w:type="dxa"/>
                </w:tcPr>
                <w:p w:rsidR="002011DB" w:rsidRDefault="002011DB" w:rsidP="005F46D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160</w:t>
                  </w:r>
                </w:p>
              </w:tc>
              <w:tc>
                <w:tcPr>
                  <w:tcW w:w="2409" w:type="dxa"/>
                </w:tcPr>
                <w:p w:rsidR="002011DB" w:rsidRDefault="002011DB" w:rsidP="005F46D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/</w:t>
                  </w:r>
                </w:p>
              </w:tc>
              <w:tc>
                <w:tcPr>
                  <w:tcW w:w="2410" w:type="dxa"/>
                </w:tcPr>
                <w:p w:rsidR="002011DB" w:rsidRPr="00D51151" w:rsidRDefault="002011DB" w:rsidP="005F46DF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160</w:t>
                  </w:r>
                </w:p>
              </w:tc>
            </w:tr>
            <w:tr w:rsidR="002011DB" w:rsidTr="005F46DF">
              <w:tc>
                <w:tcPr>
                  <w:tcW w:w="2122" w:type="dxa"/>
                </w:tcPr>
                <w:p w:rsidR="002011DB" w:rsidRDefault="002011DB" w:rsidP="005F46DF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SSIAD</w:t>
                  </w:r>
                </w:p>
              </w:tc>
              <w:tc>
                <w:tcPr>
                  <w:tcW w:w="1134" w:type="dxa"/>
                </w:tcPr>
                <w:p w:rsidR="002011DB" w:rsidRDefault="002011DB" w:rsidP="005F46D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/</w:t>
                  </w:r>
                </w:p>
              </w:tc>
              <w:tc>
                <w:tcPr>
                  <w:tcW w:w="2409" w:type="dxa"/>
                </w:tcPr>
                <w:p w:rsidR="002011DB" w:rsidRDefault="002011DB" w:rsidP="005F46D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80 (dont 10 Alzheimer)</w:t>
                  </w:r>
                </w:p>
              </w:tc>
              <w:tc>
                <w:tcPr>
                  <w:tcW w:w="2410" w:type="dxa"/>
                </w:tcPr>
                <w:p w:rsidR="002011DB" w:rsidRPr="00D51151" w:rsidRDefault="002011DB" w:rsidP="005F46DF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80</w:t>
                  </w:r>
                </w:p>
              </w:tc>
            </w:tr>
            <w:tr w:rsidR="002011DB" w:rsidTr="005F46DF">
              <w:tc>
                <w:tcPr>
                  <w:tcW w:w="2122" w:type="dxa"/>
                  <w:shd w:val="clear" w:color="auto" w:fill="EEECE1" w:themeFill="background2"/>
                </w:tcPr>
                <w:p w:rsidR="002011DB" w:rsidRPr="00D51151" w:rsidRDefault="002011DB" w:rsidP="005F46DF">
                  <w:pPr>
                    <w:jc w:val="both"/>
                    <w:rPr>
                      <w:b/>
                      <w:sz w:val="22"/>
                    </w:rPr>
                  </w:pPr>
                  <w:r w:rsidRPr="00D51151">
                    <w:rPr>
                      <w:b/>
                      <w:sz w:val="22"/>
                    </w:rPr>
                    <w:t>TOTAL ENTITE</w:t>
                  </w:r>
                </w:p>
              </w:tc>
              <w:tc>
                <w:tcPr>
                  <w:tcW w:w="1134" w:type="dxa"/>
                  <w:shd w:val="clear" w:color="auto" w:fill="EEECE1" w:themeFill="background2"/>
                </w:tcPr>
                <w:p w:rsidR="002011DB" w:rsidRPr="00D51151" w:rsidRDefault="00284087" w:rsidP="005F46DF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327</w:t>
                  </w:r>
                </w:p>
              </w:tc>
              <w:tc>
                <w:tcPr>
                  <w:tcW w:w="2409" w:type="dxa"/>
                  <w:shd w:val="clear" w:color="auto" w:fill="EEECE1" w:themeFill="background2"/>
                </w:tcPr>
                <w:p w:rsidR="002011DB" w:rsidRPr="00D51151" w:rsidRDefault="002011DB" w:rsidP="00A66AFB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13</w:t>
                  </w:r>
                  <w:r w:rsidR="00284087">
                    <w:rPr>
                      <w:b/>
                      <w:sz w:val="22"/>
                    </w:rPr>
                    <w:t>7</w:t>
                  </w:r>
                  <w:bookmarkStart w:id="0" w:name="_GoBack"/>
                  <w:bookmarkEnd w:id="0"/>
                </w:p>
              </w:tc>
              <w:tc>
                <w:tcPr>
                  <w:tcW w:w="2410" w:type="dxa"/>
                  <w:shd w:val="clear" w:color="auto" w:fill="EEECE1" w:themeFill="background2"/>
                </w:tcPr>
                <w:p w:rsidR="002011DB" w:rsidRPr="00D51151" w:rsidRDefault="00284087" w:rsidP="00A66AFB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464</w:t>
                  </w:r>
                </w:p>
              </w:tc>
            </w:tr>
          </w:tbl>
          <w:p w:rsidR="009E7851" w:rsidRDefault="009E7851" w:rsidP="009E7851">
            <w:pPr>
              <w:jc w:val="both"/>
              <w:rPr>
                <w:b/>
                <w:sz w:val="22"/>
              </w:rPr>
            </w:pPr>
          </w:p>
          <w:p w:rsidR="009E7851" w:rsidRDefault="009E7851" w:rsidP="009E7851">
            <w:pPr>
              <w:jc w:val="both"/>
              <w:rPr>
                <w:b/>
                <w:sz w:val="22"/>
              </w:rPr>
            </w:pPr>
          </w:p>
          <w:p w:rsidR="002011DB" w:rsidRDefault="002011DB" w:rsidP="009E7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</w:rPr>
            </w:pPr>
            <w:r>
              <w:rPr>
                <w:b/>
                <w:sz w:val="22"/>
              </w:rPr>
              <w:t>Caractéristiques</w:t>
            </w:r>
            <w:r w:rsidRPr="007A6305">
              <w:rPr>
                <w:sz w:val="22"/>
              </w:rPr>
              <w:t xml:space="preserve">: </w:t>
            </w:r>
          </w:p>
          <w:p w:rsidR="008454F9" w:rsidRPr="007A6305" w:rsidRDefault="008454F9" w:rsidP="001C0F68">
            <w:pPr>
              <w:jc w:val="both"/>
              <w:rPr>
                <w:sz w:val="22"/>
              </w:rPr>
            </w:pPr>
          </w:p>
          <w:p w:rsidR="00A66AFB" w:rsidRDefault="002011DB" w:rsidP="001D722D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Activités </w:t>
            </w:r>
            <w:r w:rsidR="00A66AFB">
              <w:rPr>
                <w:sz w:val="22"/>
              </w:rPr>
              <w:t xml:space="preserve">médicales étoffées avec nombreuses spécialités représentées (médecine interne, cancérologie, hématologie, gastroentérologie, </w:t>
            </w:r>
            <w:r w:rsidR="00A66AFB" w:rsidRPr="00A66AFB">
              <w:rPr>
                <w:sz w:val="22"/>
              </w:rPr>
              <w:t>diabétologie</w:t>
            </w:r>
            <w:r w:rsidR="00A66AFB">
              <w:rPr>
                <w:sz w:val="22"/>
              </w:rPr>
              <w:t xml:space="preserve">, cardiologie, </w:t>
            </w:r>
            <w:r w:rsidR="00A66AFB" w:rsidRPr="00A66AFB">
              <w:rPr>
                <w:sz w:val="22"/>
              </w:rPr>
              <w:t>pneumologie</w:t>
            </w:r>
            <w:r w:rsidR="00A66AFB" w:rsidRPr="007A6305">
              <w:rPr>
                <w:sz w:val="22"/>
              </w:rPr>
              <w:t xml:space="preserve"> </w:t>
            </w:r>
            <w:r w:rsidR="00A66AFB" w:rsidRPr="00A66AFB">
              <w:rPr>
                <w:sz w:val="22"/>
              </w:rPr>
              <w:t>gériatrie aigüe</w:t>
            </w:r>
            <w:r w:rsidR="00A66AFB">
              <w:rPr>
                <w:sz w:val="22"/>
              </w:rPr>
              <w:t>, consultation d’évaluation de la douleur labellisée</w:t>
            </w:r>
            <w:r w:rsidR="00D14D8E">
              <w:rPr>
                <w:sz w:val="22"/>
              </w:rPr>
              <w:t xml:space="preserve">, </w:t>
            </w:r>
            <w:r w:rsidR="00C478BC">
              <w:rPr>
                <w:sz w:val="22"/>
              </w:rPr>
              <w:t>soins palliatifs</w:t>
            </w:r>
            <w:r w:rsidR="00A66AFB">
              <w:rPr>
                <w:sz w:val="22"/>
              </w:rPr>
              <w:t>…)</w:t>
            </w:r>
          </w:p>
          <w:p w:rsidR="00C478BC" w:rsidRDefault="00A66AFB" w:rsidP="001D722D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C478BC">
              <w:rPr>
                <w:sz w:val="22"/>
              </w:rPr>
              <w:t xml:space="preserve">Activités de chirurgie viscérale, digestive, </w:t>
            </w:r>
            <w:r w:rsidR="00D14D8E">
              <w:rPr>
                <w:sz w:val="22"/>
              </w:rPr>
              <w:t xml:space="preserve">urologie, gynécologie </w:t>
            </w:r>
            <w:r w:rsidRPr="00C478BC">
              <w:rPr>
                <w:sz w:val="22"/>
              </w:rPr>
              <w:t>et orthopédique mais aussi d’ophtalmologie, de stomatologie et d’ORL</w:t>
            </w:r>
          </w:p>
          <w:p w:rsidR="00A66AFB" w:rsidRPr="00C478BC" w:rsidRDefault="00A66AFB" w:rsidP="001D722D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C478BC">
              <w:rPr>
                <w:sz w:val="22"/>
              </w:rPr>
              <w:t>Plateau de consultations externes très développé</w:t>
            </w:r>
          </w:p>
          <w:p w:rsidR="00A66AFB" w:rsidRDefault="00A66AFB" w:rsidP="001D722D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Maternité dynamique</w:t>
            </w:r>
            <w:r w:rsidR="00C478BC">
              <w:rPr>
                <w:sz w:val="22"/>
              </w:rPr>
              <w:t xml:space="preserve"> de niveau IIA</w:t>
            </w:r>
            <w:r>
              <w:rPr>
                <w:sz w:val="22"/>
              </w:rPr>
              <w:t>, pédiatrie avec néonatalogie</w:t>
            </w:r>
          </w:p>
          <w:p w:rsidR="00C478BC" w:rsidRDefault="00C478BC" w:rsidP="001D722D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7A6305">
              <w:rPr>
                <w:sz w:val="22"/>
              </w:rPr>
              <w:t>Plateau technique</w:t>
            </w:r>
            <w:r>
              <w:rPr>
                <w:sz w:val="22"/>
              </w:rPr>
              <w:t> conséquent</w:t>
            </w:r>
            <w:r w:rsidRPr="007A6305">
              <w:rPr>
                <w:sz w:val="22"/>
              </w:rPr>
              <w:t xml:space="preserve">: </w:t>
            </w:r>
            <w:r>
              <w:rPr>
                <w:sz w:val="22"/>
              </w:rPr>
              <w:t>laboratoire de biologie médicale,</w:t>
            </w:r>
            <w:r w:rsidRPr="007A6305">
              <w:rPr>
                <w:sz w:val="22"/>
              </w:rPr>
              <w:t xml:space="preserve"> </w:t>
            </w:r>
            <w:r>
              <w:rPr>
                <w:sz w:val="22"/>
              </w:rPr>
              <w:t>plateau d’i</w:t>
            </w:r>
            <w:r w:rsidRPr="007A6305">
              <w:rPr>
                <w:sz w:val="22"/>
              </w:rPr>
              <w:t xml:space="preserve">magerie (1 </w:t>
            </w:r>
            <w:proofErr w:type="gramStart"/>
            <w:r w:rsidRPr="007A6305">
              <w:rPr>
                <w:sz w:val="22"/>
              </w:rPr>
              <w:t>IRM</w:t>
            </w:r>
            <w:r>
              <w:rPr>
                <w:sz w:val="22"/>
              </w:rPr>
              <w:t xml:space="preserve"> </w:t>
            </w:r>
            <w:r w:rsidRPr="007A6305">
              <w:rPr>
                <w:sz w:val="22"/>
              </w:rPr>
              <w:t>,</w:t>
            </w:r>
            <w:proofErr w:type="gramEnd"/>
            <w:r w:rsidRPr="007A6305">
              <w:rPr>
                <w:sz w:val="22"/>
              </w:rPr>
              <w:t xml:space="preserve"> 2 scanners</w:t>
            </w:r>
            <w:r>
              <w:rPr>
                <w:sz w:val="22"/>
              </w:rPr>
              <w:t xml:space="preserve"> </w:t>
            </w:r>
            <w:r w:rsidRPr="00A66AFB">
              <w:rPr>
                <w:sz w:val="22"/>
              </w:rPr>
              <w:t xml:space="preserve">64 coupes </w:t>
            </w:r>
            <w:r>
              <w:rPr>
                <w:sz w:val="22"/>
              </w:rPr>
              <w:t>permettant une activité</w:t>
            </w:r>
            <w:r w:rsidRPr="00A66AFB">
              <w:rPr>
                <w:sz w:val="22"/>
              </w:rPr>
              <w:t xml:space="preserve"> de </w:t>
            </w:r>
            <w:proofErr w:type="spellStart"/>
            <w:r w:rsidRPr="00A66AFB">
              <w:rPr>
                <w:sz w:val="22"/>
              </w:rPr>
              <w:t>coro</w:t>
            </w:r>
            <w:proofErr w:type="spellEnd"/>
            <w:r w:rsidRPr="00A66AFB">
              <w:rPr>
                <w:sz w:val="22"/>
              </w:rPr>
              <w:t>-scanner</w:t>
            </w:r>
            <w:r w:rsidRPr="007A6305">
              <w:rPr>
                <w:sz w:val="22"/>
              </w:rPr>
              <w:t xml:space="preserve">), </w:t>
            </w:r>
            <w:r>
              <w:rPr>
                <w:sz w:val="22"/>
              </w:rPr>
              <w:t xml:space="preserve">Bloc opératoire (6 </w:t>
            </w:r>
            <w:r w:rsidRPr="005E11DD">
              <w:rPr>
                <w:sz w:val="22"/>
              </w:rPr>
              <w:t>salles</w:t>
            </w:r>
            <w:r>
              <w:rPr>
                <w:sz w:val="22"/>
              </w:rPr>
              <w:t xml:space="preserve">), </w:t>
            </w:r>
            <w:r w:rsidRPr="005E11D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centre lourd d’Hémodialyse/néphrologie, </w:t>
            </w:r>
            <w:r w:rsidR="00D14D8E">
              <w:rPr>
                <w:sz w:val="22"/>
              </w:rPr>
              <w:t xml:space="preserve">Unité de dialyse médicalisé UDM, </w:t>
            </w:r>
            <w:r w:rsidR="0054171F">
              <w:rPr>
                <w:sz w:val="22"/>
              </w:rPr>
              <w:t xml:space="preserve"> Pharmacie à Usage Intérieur </w:t>
            </w:r>
            <w:r w:rsidR="001D722D">
              <w:rPr>
                <w:sz w:val="22"/>
              </w:rPr>
              <w:t xml:space="preserve">assurant les missions optionnelles suivantes : préparation centralisée des médicaments anticancéreux stériles, rétrocession aux patients externes, stérilisation des dispositifs médicaux </w:t>
            </w:r>
            <w:proofErr w:type="spellStart"/>
            <w:r w:rsidR="001D722D">
              <w:rPr>
                <w:sz w:val="22"/>
              </w:rPr>
              <w:t>restérilisables</w:t>
            </w:r>
            <w:proofErr w:type="spellEnd"/>
            <w:r w:rsidR="001D722D">
              <w:rPr>
                <w:sz w:val="22"/>
              </w:rPr>
              <w:t>.</w:t>
            </w:r>
          </w:p>
          <w:p w:rsidR="0054171F" w:rsidRDefault="0054171F" w:rsidP="001D722D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Etablissement support de l’Equipe Opérationnelle d’Hygiène du Sud Yvelines</w:t>
            </w:r>
          </w:p>
          <w:p w:rsidR="009111B2" w:rsidRPr="007A6305" w:rsidRDefault="009111B2" w:rsidP="001D722D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Etablissement support pour la filière </w:t>
            </w:r>
            <w:r w:rsidR="00DF0AAE">
              <w:rPr>
                <w:sz w:val="22"/>
              </w:rPr>
              <w:t>néphrologie</w:t>
            </w:r>
            <w:r>
              <w:rPr>
                <w:sz w:val="22"/>
              </w:rPr>
              <w:t xml:space="preserve"> et algologie</w:t>
            </w:r>
          </w:p>
          <w:p w:rsidR="00A66AFB" w:rsidRPr="0077579B" w:rsidRDefault="00C478BC" w:rsidP="001D722D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77579B">
              <w:rPr>
                <w:sz w:val="22"/>
              </w:rPr>
              <w:t>Réanimation et Soins Continus</w:t>
            </w:r>
          </w:p>
          <w:p w:rsidR="00C478BC" w:rsidRDefault="00C478BC" w:rsidP="001D722D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Urgences adultes et pédiatriques, équipe de SMUR sur place</w:t>
            </w:r>
          </w:p>
          <w:p w:rsidR="00C478BC" w:rsidRDefault="00C478BC" w:rsidP="00C478BC">
            <w:pPr>
              <w:pStyle w:val="Paragraphedeliste"/>
              <w:spacing w:before="278" w:after="278"/>
              <w:jc w:val="both"/>
              <w:outlineLvl w:val="1"/>
              <w:rPr>
                <w:sz w:val="22"/>
              </w:rPr>
            </w:pPr>
          </w:p>
          <w:p w:rsidR="00C478BC" w:rsidRDefault="00C478BC" w:rsidP="00C478BC">
            <w:pPr>
              <w:pStyle w:val="Paragraphedeliste"/>
              <w:spacing w:before="278" w:after="278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Le </w:t>
            </w:r>
            <w:r w:rsidR="002011DB" w:rsidRPr="00C478BC">
              <w:rPr>
                <w:sz w:val="22"/>
              </w:rPr>
              <w:t>Ce</w:t>
            </w:r>
            <w:r>
              <w:rPr>
                <w:sz w:val="22"/>
              </w:rPr>
              <w:t xml:space="preserve">ntre Hospitalier de Rambouillet est un des établissements co-fondateurs du Groupement Hospitalier de Territoire Yvelines Sud </w:t>
            </w:r>
            <w:r w:rsidR="002011DB" w:rsidRPr="00C478BC">
              <w:rPr>
                <w:sz w:val="22"/>
              </w:rPr>
              <w:t>(600 000 habitants)</w:t>
            </w:r>
            <w:r>
              <w:rPr>
                <w:sz w:val="22"/>
              </w:rPr>
              <w:t xml:space="preserve"> en place depuis le 1</w:t>
            </w:r>
            <w:r w:rsidRPr="00C478BC">
              <w:rPr>
                <w:sz w:val="22"/>
                <w:vertAlign w:val="superscript"/>
              </w:rPr>
              <w:t>er</w:t>
            </w:r>
            <w:r>
              <w:rPr>
                <w:sz w:val="22"/>
              </w:rPr>
              <w:t xml:space="preserve"> juillet 2016, dont le Centre Hospitalier de Versailles</w:t>
            </w:r>
            <w:r w:rsidR="002011DB" w:rsidRPr="00C478BC">
              <w:rPr>
                <w:sz w:val="22"/>
              </w:rPr>
              <w:t xml:space="preserve"> </w:t>
            </w:r>
            <w:r>
              <w:rPr>
                <w:sz w:val="22"/>
              </w:rPr>
              <w:t>constitue</w:t>
            </w:r>
            <w:r w:rsidR="002011DB" w:rsidRPr="00C478BC">
              <w:rPr>
                <w:sz w:val="22"/>
              </w:rPr>
              <w:t xml:space="preserve"> </w:t>
            </w:r>
            <w:r w:rsidRPr="00C478BC">
              <w:rPr>
                <w:sz w:val="22"/>
              </w:rPr>
              <w:t>l’</w:t>
            </w:r>
            <w:r>
              <w:rPr>
                <w:sz w:val="22"/>
              </w:rPr>
              <w:t xml:space="preserve">établissement support de référence. </w:t>
            </w:r>
            <w:r w:rsidRPr="00126F83">
              <w:rPr>
                <w:b/>
                <w:sz w:val="22"/>
              </w:rPr>
              <w:t>Les 2 établissements s’inscrivent dans une dynamique historique de très forte coopération</w:t>
            </w:r>
            <w:r w:rsidR="00126F83" w:rsidRPr="00126F83">
              <w:rPr>
                <w:b/>
                <w:sz w:val="22"/>
              </w:rPr>
              <w:t>, appelée encore à se renforcer, dans le cadre des orientations du projet médical de territoire partagé du GHT</w:t>
            </w:r>
            <w:r w:rsidR="00126F83">
              <w:rPr>
                <w:sz w:val="22"/>
              </w:rPr>
              <w:t>.</w:t>
            </w:r>
          </w:p>
          <w:p w:rsidR="00126F83" w:rsidRPr="0077579B" w:rsidRDefault="00126F83" w:rsidP="0077579B">
            <w:pPr>
              <w:spacing w:before="278" w:after="278"/>
              <w:jc w:val="both"/>
              <w:outlineLvl w:val="1"/>
              <w:rPr>
                <w:sz w:val="22"/>
              </w:rPr>
            </w:pPr>
          </w:p>
          <w:p w:rsidR="00721735" w:rsidRDefault="00721735" w:rsidP="0072173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28335A" w:rsidRPr="0028335A" w:rsidRDefault="00B063D0" w:rsidP="001D722D">
            <w:pPr>
              <w:pStyle w:val="Paragraphedeliste"/>
              <w:numPr>
                <w:ilvl w:val="0"/>
                <w:numId w:val="2"/>
              </w:numPr>
              <w:shd w:val="clear" w:color="auto" w:fill="DBE5F1" w:themeFill="accent1" w:themeFillTint="33"/>
              <w:tabs>
                <w:tab w:val="left" w:pos="567"/>
              </w:tabs>
              <w:ind w:left="567" w:hanging="567"/>
              <w:rPr>
                <w:b/>
                <w:sz w:val="28"/>
              </w:rPr>
            </w:pPr>
            <w:r>
              <w:rPr>
                <w:b/>
                <w:sz w:val="28"/>
              </w:rPr>
              <w:t>Identification du poste</w:t>
            </w:r>
          </w:p>
          <w:p w:rsidR="0039346E" w:rsidRPr="0039346E" w:rsidRDefault="0039346E" w:rsidP="0028335A">
            <w:pPr>
              <w:pStyle w:val="Paragraphedeliste"/>
              <w:tabs>
                <w:tab w:val="left" w:pos="1134"/>
              </w:tabs>
              <w:ind w:left="1134"/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</w:tbl>
    <w:p w:rsidR="00BB64F5" w:rsidRPr="005F46DF" w:rsidRDefault="00B063D0" w:rsidP="005F46DF">
      <w:pPr>
        <w:pBdr>
          <w:bottom w:val="single" w:sz="4" w:space="1" w:color="auto"/>
        </w:pBdr>
        <w:tabs>
          <w:tab w:val="left" w:pos="284"/>
        </w:tabs>
        <w:ind w:left="284" w:hanging="284"/>
        <w:rPr>
          <w:b/>
        </w:rPr>
      </w:pPr>
      <w:r w:rsidRPr="005F46DF">
        <w:rPr>
          <w:b/>
        </w:rPr>
        <w:lastRenderedPageBreak/>
        <w:t xml:space="preserve">II.1. </w:t>
      </w:r>
      <w:r w:rsidR="001D722D">
        <w:rPr>
          <w:b/>
        </w:rPr>
        <w:t>Présentation de l’équipe pharmaceutique</w:t>
      </w:r>
    </w:p>
    <w:p w:rsidR="005F46DF" w:rsidRDefault="005F46DF" w:rsidP="00B063D0">
      <w:pPr>
        <w:tabs>
          <w:tab w:val="left" w:pos="284"/>
        </w:tabs>
        <w:ind w:left="284" w:hanging="284"/>
        <w:rPr>
          <w:sz w:val="22"/>
        </w:rPr>
      </w:pPr>
    </w:p>
    <w:p w:rsidR="005F46DF" w:rsidRDefault="005F46DF" w:rsidP="00AC15B0">
      <w:pPr>
        <w:tabs>
          <w:tab w:val="left" w:pos="284"/>
        </w:tabs>
        <w:rPr>
          <w:sz w:val="22"/>
        </w:rPr>
      </w:pPr>
    </w:p>
    <w:p w:rsidR="000A12EF" w:rsidRDefault="003E6E00" w:rsidP="003845D9">
      <w:pPr>
        <w:jc w:val="both"/>
        <w:rPr>
          <w:sz w:val="22"/>
        </w:rPr>
      </w:pPr>
      <w:r>
        <w:rPr>
          <w:sz w:val="22"/>
        </w:rPr>
        <w:t>L’équipe</w:t>
      </w:r>
      <w:r w:rsidR="00C158D8">
        <w:rPr>
          <w:sz w:val="22"/>
        </w:rPr>
        <w:t xml:space="preserve"> médicale se compose </w:t>
      </w:r>
      <w:r w:rsidR="00D14D8E">
        <w:rPr>
          <w:sz w:val="22"/>
        </w:rPr>
        <w:t>au 01/06/2019</w:t>
      </w:r>
      <w:r w:rsidR="0077579B">
        <w:rPr>
          <w:sz w:val="22"/>
        </w:rPr>
        <w:t xml:space="preserve"> de 3 praticiens hospitaliers et un assistant spécialiste</w:t>
      </w:r>
      <w:r w:rsidR="003845D9">
        <w:rPr>
          <w:sz w:val="22"/>
        </w:rPr>
        <w:t>.</w:t>
      </w:r>
    </w:p>
    <w:p w:rsidR="00C158D8" w:rsidRDefault="00C158D8" w:rsidP="00B063D0">
      <w:pPr>
        <w:tabs>
          <w:tab w:val="left" w:pos="284"/>
        </w:tabs>
        <w:ind w:left="284" w:hanging="284"/>
        <w:rPr>
          <w:sz w:val="22"/>
        </w:rPr>
      </w:pPr>
    </w:p>
    <w:p w:rsidR="0044094B" w:rsidRDefault="003845D9" w:rsidP="00B063D0">
      <w:pPr>
        <w:tabs>
          <w:tab w:val="left" w:pos="284"/>
        </w:tabs>
        <w:ind w:left="284" w:hanging="284"/>
        <w:rPr>
          <w:sz w:val="22"/>
        </w:rPr>
      </w:pPr>
      <w:r>
        <w:rPr>
          <w:sz w:val="22"/>
        </w:rPr>
        <w:t xml:space="preserve">L’équipe paramédicale </w:t>
      </w:r>
      <w:r w:rsidR="0044094B">
        <w:rPr>
          <w:sz w:val="22"/>
        </w:rPr>
        <w:t>comprend :</w:t>
      </w:r>
    </w:p>
    <w:p w:rsidR="0044094B" w:rsidRDefault="0044094B" w:rsidP="00B063D0">
      <w:pPr>
        <w:tabs>
          <w:tab w:val="left" w:pos="284"/>
        </w:tabs>
        <w:ind w:left="284" w:hanging="284"/>
        <w:rPr>
          <w:sz w:val="22"/>
        </w:rPr>
      </w:pPr>
    </w:p>
    <w:tbl>
      <w:tblPr>
        <w:tblW w:w="35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240"/>
      </w:tblGrid>
      <w:tr w:rsidR="0044094B" w:rsidTr="0044094B">
        <w:trPr>
          <w:trHeight w:val="312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4094B" w:rsidRPr="00784099" w:rsidRDefault="0044094B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784099">
              <w:rPr>
                <w:rFonts w:ascii="Calibri" w:hAnsi="Calibri" w:cs="Arial"/>
                <w:sz w:val="20"/>
                <w:szCs w:val="22"/>
              </w:rPr>
              <w:t>FONCTIONS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94B" w:rsidRPr="00784099" w:rsidRDefault="0044094B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784099">
              <w:rPr>
                <w:rFonts w:ascii="Calibri" w:hAnsi="Calibri" w:cs="Arial"/>
                <w:sz w:val="20"/>
                <w:szCs w:val="22"/>
              </w:rPr>
              <w:t>ETP</w:t>
            </w:r>
          </w:p>
        </w:tc>
      </w:tr>
      <w:tr w:rsidR="0044094B" w:rsidTr="002F6D90">
        <w:trPr>
          <w:trHeight w:val="244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094B" w:rsidRPr="00784099" w:rsidRDefault="0044094B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B" w:rsidRPr="00784099" w:rsidRDefault="0044094B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44094B" w:rsidTr="0044094B">
        <w:trPr>
          <w:trHeight w:val="3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4B" w:rsidRPr="00784099" w:rsidRDefault="001D722D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Cadre de santé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94B" w:rsidRPr="00784099" w:rsidRDefault="0044094B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784099">
              <w:rPr>
                <w:rFonts w:ascii="Calibri" w:hAnsi="Calibri" w:cs="Arial"/>
                <w:sz w:val="20"/>
                <w:szCs w:val="22"/>
              </w:rPr>
              <w:t>1</w:t>
            </w:r>
          </w:p>
        </w:tc>
      </w:tr>
      <w:tr w:rsidR="0044094B" w:rsidTr="0044094B">
        <w:trPr>
          <w:trHeight w:val="3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4B" w:rsidRPr="00784099" w:rsidRDefault="001D722D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P</w:t>
            </w:r>
            <w:r w:rsidR="0077579B">
              <w:rPr>
                <w:rFonts w:ascii="Calibri" w:hAnsi="Calibri" w:cs="Arial"/>
                <w:sz w:val="20"/>
                <w:szCs w:val="22"/>
              </w:rPr>
              <w:t>réparateurs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94B" w:rsidRPr="00784099" w:rsidRDefault="001D722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8,6</w:t>
            </w:r>
          </w:p>
        </w:tc>
      </w:tr>
      <w:tr w:rsidR="0044094B" w:rsidTr="0044094B">
        <w:trPr>
          <w:trHeight w:val="3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4B" w:rsidRPr="00784099" w:rsidRDefault="0077579B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Aide de pharmacie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94B" w:rsidRPr="00784099" w:rsidRDefault="0077579B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1.5</w:t>
            </w:r>
          </w:p>
        </w:tc>
      </w:tr>
      <w:tr w:rsidR="00F41534" w:rsidTr="00067F4A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34" w:rsidRPr="00784099" w:rsidRDefault="00F41534" w:rsidP="0067419A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Agent de stérilisation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534" w:rsidRPr="00784099" w:rsidRDefault="00D14D8E" w:rsidP="0067419A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5</w:t>
            </w:r>
            <w:r w:rsidR="00F41534">
              <w:rPr>
                <w:rFonts w:ascii="Calibri" w:hAnsi="Calibri" w:cs="Arial"/>
                <w:sz w:val="20"/>
                <w:szCs w:val="22"/>
              </w:rPr>
              <w:t>,8</w:t>
            </w:r>
          </w:p>
        </w:tc>
      </w:tr>
      <w:tr w:rsidR="00F41534" w:rsidTr="00067F4A">
        <w:trPr>
          <w:trHeight w:val="3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34" w:rsidRPr="0077579B" w:rsidRDefault="00F41534" w:rsidP="0067419A">
            <w:pPr>
              <w:rPr>
                <w:rFonts w:ascii="Calibri" w:hAnsi="Calibri" w:cs="Arial"/>
                <w:bCs/>
                <w:sz w:val="20"/>
                <w:szCs w:val="22"/>
              </w:rPr>
            </w:pPr>
            <w:r w:rsidRPr="0077579B">
              <w:rPr>
                <w:rFonts w:ascii="Calibri" w:hAnsi="Calibri" w:cs="Arial"/>
                <w:bCs/>
                <w:sz w:val="20"/>
                <w:szCs w:val="22"/>
              </w:rPr>
              <w:t>Secrétariat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534" w:rsidRPr="0077579B" w:rsidRDefault="00F41534" w:rsidP="0067419A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  <w:r w:rsidRPr="0077579B">
              <w:rPr>
                <w:rFonts w:ascii="Calibri" w:hAnsi="Calibri" w:cs="Arial"/>
                <w:bCs/>
                <w:sz w:val="20"/>
                <w:szCs w:val="22"/>
              </w:rPr>
              <w:t>2</w:t>
            </w:r>
          </w:p>
        </w:tc>
      </w:tr>
      <w:tr w:rsidR="00F41534" w:rsidTr="00F41534">
        <w:trPr>
          <w:trHeight w:val="3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34" w:rsidRPr="0077579B" w:rsidRDefault="00F41534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534" w:rsidRPr="0077579B" w:rsidRDefault="00F41534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</w:tbl>
    <w:p w:rsidR="0044094B" w:rsidRDefault="0044094B" w:rsidP="00B063D0">
      <w:pPr>
        <w:tabs>
          <w:tab w:val="left" w:pos="284"/>
        </w:tabs>
        <w:ind w:left="284" w:hanging="284"/>
        <w:rPr>
          <w:sz w:val="22"/>
        </w:rPr>
      </w:pPr>
    </w:p>
    <w:p w:rsidR="00C158D8" w:rsidRDefault="00C158D8" w:rsidP="00DC3444">
      <w:pPr>
        <w:tabs>
          <w:tab w:val="left" w:pos="284"/>
        </w:tabs>
        <w:rPr>
          <w:sz w:val="22"/>
        </w:rPr>
      </w:pPr>
    </w:p>
    <w:p w:rsidR="00ED6829" w:rsidRDefault="00ED6829" w:rsidP="00B063D0">
      <w:pPr>
        <w:tabs>
          <w:tab w:val="left" w:pos="284"/>
        </w:tabs>
        <w:ind w:left="284" w:hanging="284"/>
        <w:rPr>
          <w:sz w:val="22"/>
        </w:rPr>
      </w:pPr>
    </w:p>
    <w:p w:rsidR="00ED6829" w:rsidRDefault="00ED6829" w:rsidP="00DC3444">
      <w:pPr>
        <w:tabs>
          <w:tab w:val="left" w:pos="284"/>
        </w:tabs>
        <w:rPr>
          <w:sz w:val="22"/>
        </w:rPr>
      </w:pPr>
    </w:p>
    <w:p w:rsidR="001C1448" w:rsidRDefault="001C1448" w:rsidP="00DC3444">
      <w:pPr>
        <w:tabs>
          <w:tab w:val="left" w:pos="284"/>
        </w:tabs>
        <w:rPr>
          <w:sz w:val="22"/>
        </w:rPr>
      </w:pPr>
    </w:p>
    <w:p w:rsidR="00B063D0" w:rsidRPr="005F46DF" w:rsidRDefault="001D722D" w:rsidP="005F46DF">
      <w:pPr>
        <w:pBdr>
          <w:bottom w:val="single" w:sz="4" w:space="1" w:color="auto"/>
        </w:pBdr>
        <w:tabs>
          <w:tab w:val="left" w:pos="284"/>
        </w:tabs>
        <w:ind w:left="284" w:hanging="284"/>
        <w:rPr>
          <w:b/>
        </w:rPr>
      </w:pPr>
      <w:r>
        <w:rPr>
          <w:b/>
        </w:rPr>
        <w:lastRenderedPageBreak/>
        <w:t>II.2</w:t>
      </w:r>
      <w:r w:rsidR="00B063D0" w:rsidRPr="005F46DF">
        <w:rPr>
          <w:b/>
        </w:rPr>
        <w:t xml:space="preserve">. Missions </w:t>
      </w:r>
      <w:r w:rsidR="00AC15B0">
        <w:rPr>
          <w:b/>
        </w:rPr>
        <w:t>du poste</w:t>
      </w:r>
    </w:p>
    <w:p w:rsidR="001D722D" w:rsidRDefault="001D722D">
      <w:pPr>
        <w:rPr>
          <w:sz w:val="22"/>
        </w:rPr>
      </w:pPr>
    </w:p>
    <w:p w:rsidR="001D722D" w:rsidRDefault="001D722D">
      <w:pPr>
        <w:rPr>
          <w:sz w:val="22"/>
        </w:rPr>
      </w:pPr>
      <w:r>
        <w:rPr>
          <w:sz w:val="22"/>
        </w:rPr>
        <w:t xml:space="preserve">Le pharmacien assistant </w:t>
      </w:r>
      <w:r w:rsidR="003E6E00">
        <w:rPr>
          <w:sz w:val="22"/>
        </w:rPr>
        <w:t>sera</w:t>
      </w:r>
      <w:r>
        <w:rPr>
          <w:sz w:val="22"/>
        </w:rPr>
        <w:t xml:space="preserve"> référent : </w:t>
      </w:r>
    </w:p>
    <w:p w:rsidR="001D722D" w:rsidRPr="001D722D" w:rsidRDefault="001D722D" w:rsidP="001D722D">
      <w:pPr>
        <w:pStyle w:val="Paragraphedeliste"/>
        <w:numPr>
          <w:ilvl w:val="0"/>
          <w:numId w:val="5"/>
        </w:numPr>
        <w:jc w:val="both"/>
        <w:rPr>
          <w:sz w:val="22"/>
        </w:rPr>
      </w:pPr>
      <w:r w:rsidRPr="001D722D">
        <w:rPr>
          <w:sz w:val="22"/>
        </w:rPr>
        <w:t>du pole gériatrie qui comprend 1 service de médecine gériatrique aigüe et 1 EHPAD. Ce dernier bénéficie d’une prescription informatisée (logiciel DX-CARE®) et d’une DHIN des médicaments per os.</w:t>
      </w:r>
    </w:p>
    <w:p w:rsidR="001D722D" w:rsidRPr="001D722D" w:rsidRDefault="001D722D" w:rsidP="001D722D">
      <w:pPr>
        <w:pStyle w:val="Paragraphedeliste"/>
        <w:numPr>
          <w:ilvl w:val="0"/>
          <w:numId w:val="5"/>
        </w:numPr>
        <w:rPr>
          <w:sz w:val="22"/>
        </w:rPr>
      </w:pPr>
      <w:r w:rsidRPr="001D722D">
        <w:rPr>
          <w:sz w:val="22"/>
        </w:rPr>
        <w:t>du préparatoire</w:t>
      </w:r>
    </w:p>
    <w:p w:rsidR="001D722D" w:rsidRPr="001D722D" w:rsidRDefault="001D722D" w:rsidP="001D722D">
      <w:pPr>
        <w:pStyle w:val="Paragraphedeliste"/>
        <w:numPr>
          <w:ilvl w:val="0"/>
          <w:numId w:val="5"/>
        </w:numPr>
        <w:rPr>
          <w:sz w:val="22"/>
        </w:rPr>
      </w:pPr>
      <w:r w:rsidRPr="001D722D">
        <w:rPr>
          <w:sz w:val="22"/>
        </w:rPr>
        <w:t>des médicaments sous ATU</w:t>
      </w:r>
    </w:p>
    <w:p w:rsidR="001D722D" w:rsidRDefault="001D722D">
      <w:pPr>
        <w:rPr>
          <w:sz w:val="22"/>
        </w:rPr>
      </w:pPr>
    </w:p>
    <w:p w:rsidR="001D722D" w:rsidRDefault="001D722D">
      <w:pPr>
        <w:rPr>
          <w:sz w:val="22"/>
        </w:rPr>
      </w:pPr>
      <w:r>
        <w:rPr>
          <w:sz w:val="22"/>
        </w:rPr>
        <w:t>Le Pharmacien assistant participe</w:t>
      </w:r>
      <w:r w:rsidR="003E6E00">
        <w:rPr>
          <w:sz w:val="22"/>
        </w:rPr>
        <w:t>ra</w:t>
      </w:r>
      <w:r>
        <w:rPr>
          <w:sz w:val="22"/>
        </w:rPr>
        <w:t> :</w:t>
      </w:r>
    </w:p>
    <w:p w:rsidR="001D722D" w:rsidRPr="001D722D" w:rsidRDefault="001D722D" w:rsidP="001D722D">
      <w:pPr>
        <w:pStyle w:val="Paragraphedeliste"/>
        <w:numPr>
          <w:ilvl w:val="0"/>
          <w:numId w:val="6"/>
        </w:numPr>
        <w:rPr>
          <w:sz w:val="22"/>
        </w:rPr>
      </w:pPr>
      <w:r w:rsidRPr="001D722D">
        <w:rPr>
          <w:sz w:val="22"/>
        </w:rPr>
        <w:t>à la validation des prescriptions des médicaments à dispensation contrôlée</w:t>
      </w:r>
    </w:p>
    <w:p w:rsidR="001D722D" w:rsidRDefault="001D722D" w:rsidP="001D722D">
      <w:pPr>
        <w:pStyle w:val="Paragraphedeliste"/>
        <w:numPr>
          <w:ilvl w:val="0"/>
          <w:numId w:val="6"/>
        </w:numPr>
        <w:rPr>
          <w:sz w:val="22"/>
        </w:rPr>
      </w:pPr>
      <w:r w:rsidRPr="001D722D">
        <w:rPr>
          <w:sz w:val="22"/>
        </w:rPr>
        <w:t>à la gestion des alertes ascendantes et descendantes de pharmacovigilance</w:t>
      </w:r>
    </w:p>
    <w:p w:rsidR="001D722D" w:rsidRDefault="001D722D" w:rsidP="001D722D">
      <w:pPr>
        <w:rPr>
          <w:sz w:val="22"/>
        </w:rPr>
      </w:pPr>
    </w:p>
    <w:p w:rsidR="001D722D" w:rsidRDefault="001D722D" w:rsidP="001D722D">
      <w:pPr>
        <w:rPr>
          <w:sz w:val="22"/>
        </w:rPr>
      </w:pPr>
      <w:r>
        <w:rPr>
          <w:sz w:val="22"/>
        </w:rPr>
        <w:t>Le pharmacien assistant pourra être sollicité pour les autres activités de la PUI :</w:t>
      </w:r>
    </w:p>
    <w:p w:rsidR="001D722D" w:rsidRPr="001D722D" w:rsidRDefault="001D722D" w:rsidP="001D722D">
      <w:pPr>
        <w:pStyle w:val="Paragraphedeliste"/>
        <w:numPr>
          <w:ilvl w:val="0"/>
          <w:numId w:val="7"/>
        </w:numPr>
        <w:rPr>
          <w:sz w:val="22"/>
        </w:rPr>
      </w:pPr>
      <w:r w:rsidRPr="001D722D">
        <w:rPr>
          <w:sz w:val="22"/>
        </w:rPr>
        <w:t>gestion des stupéfiants</w:t>
      </w:r>
    </w:p>
    <w:p w:rsidR="001D722D" w:rsidRPr="001D722D" w:rsidRDefault="001D722D" w:rsidP="001D722D">
      <w:pPr>
        <w:pStyle w:val="Paragraphedeliste"/>
        <w:numPr>
          <w:ilvl w:val="0"/>
          <w:numId w:val="7"/>
        </w:numPr>
        <w:rPr>
          <w:sz w:val="22"/>
        </w:rPr>
      </w:pPr>
      <w:r w:rsidRPr="001D722D">
        <w:rPr>
          <w:sz w:val="22"/>
        </w:rPr>
        <w:t>préparation centralisée des médicaments anticancéreux stériles</w:t>
      </w:r>
      <w:r>
        <w:rPr>
          <w:sz w:val="22"/>
        </w:rPr>
        <w:t xml:space="preserve"> (5000 unités par an)</w:t>
      </w:r>
    </w:p>
    <w:p w:rsidR="001D722D" w:rsidRPr="001D722D" w:rsidRDefault="001D722D" w:rsidP="001D722D">
      <w:pPr>
        <w:pStyle w:val="Paragraphedeliste"/>
        <w:numPr>
          <w:ilvl w:val="0"/>
          <w:numId w:val="7"/>
        </w:numPr>
        <w:rPr>
          <w:sz w:val="22"/>
        </w:rPr>
      </w:pPr>
      <w:r w:rsidRPr="001D722D">
        <w:rPr>
          <w:sz w:val="22"/>
        </w:rPr>
        <w:t>gestion des dispositifs médicaux</w:t>
      </w:r>
    </w:p>
    <w:p w:rsidR="001D722D" w:rsidRDefault="001D722D" w:rsidP="001D722D">
      <w:pPr>
        <w:pStyle w:val="Paragraphedeliste"/>
        <w:numPr>
          <w:ilvl w:val="0"/>
          <w:numId w:val="7"/>
        </w:numPr>
        <w:rPr>
          <w:sz w:val="22"/>
        </w:rPr>
      </w:pPr>
      <w:r w:rsidRPr="001D722D">
        <w:rPr>
          <w:sz w:val="22"/>
        </w:rPr>
        <w:t>stérilisation centrale</w:t>
      </w:r>
    </w:p>
    <w:p w:rsidR="001D722D" w:rsidRDefault="001D722D" w:rsidP="001D722D">
      <w:pPr>
        <w:rPr>
          <w:sz w:val="22"/>
        </w:rPr>
      </w:pPr>
    </w:p>
    <w:p w:rsidR="001D722D" w:rsidRDefault="001D722D" w:rsidP="001D722D">
      <w:pPr>
        <w:rPr>
          <w:sz w:val="22"/>
        </w:rPr>
      </w:pPr>
      <w:r>
        <w:rPr>
          <w:sz w:val="22"/>
        </w:rPr>
        <w:t>Le pharmacien assistant sera intégré au sein des différents groupes projet de la PUI et participera à leur mise en œuvre :</w:t>
      </w:r>
    </w:p>
    <w:p w:rsidR="00DF0AAE" w:rsidRDefault="00DF0AAE" w:rsidP="001D722D">
      <w:pPr>
        <w:pStyle w:val="Paragraphedeliste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conciliation </w:t>
      </w:r>
    </w:p>
    <w:p w:rsidR="001D722D" w:rsidRPr="001D722D" w:rsidRDefault="00DF0AAE" w:rsidP="001D722D">
      <w:pPr>
        <w:pStyle w:val="Paragraphedeliste"/>
        <w:numPr>
          <w:ilvl w:val="0"/>
          <w:numId w:val="8"/>
        </w:numPr>
        <w:rPr>
          <w:sz w:val="22"/>
        </w:rPr>
      </w:pPr>
      <w:r>
        <w:rPr>
          <w:sz w:val="22"/>
        </w:rPr>
        <w:t>d</w:t>
      </w:r>
      <w:r w:rsidR="001D722D" w:rsidRPr="001D722D">
        <w:rPr>
          <w:sz w:val="22"/>
        </w:rPr>
        <w:t>éveloppement de la pharmacie clinique</w:t>
      </w:r>
    </w:p>
    <w:p w:rsidR="001D722D" w:rsidRPr="001D722D" w:rsidRDefault="001D722D" w:rsidP="001D722D">
      <w:pPr>
        <w:pStyle w:val="Paragraphedeliste"/>
        <w:numPr>
          <w:ilvl w:val="0"/>
          <w:numId w:val="8"/>
        </w:numPr>
        <w:rPr>
          <w:sz w:val="22"/>
        </w:rPr>
      </w:pPr>
      <w:r w:rsidRPr="001D722D">
        <w:rPr>
          <w:sz w:val="22"/>
        </w:rPr>
        <w:t xml:space="preserve">Informatisation du circuit du médicament sur le secteur MCO </w:t>
      </w:r>
      <w:r w:rsidR="003E6E00">
        <w:rPr>
          <w:sz w:val="22"/>
        </w:rPr>
        <w:t xml:space="preserve">(prescription/administration dans DX-CARE®, validation/délivrance dans Pharma®) </w:t>
      </w:r>
    </w:p>
    <w:p w:rsidR="001D722D" w:rsidRDefault="001D722D">
      <w:pPr>
        <w:rPr>
          <w:sz w:val="22"/>
        </w:rPr>
      </w:pPr>
    </w:p>
    <w:p w:rsidR="001D722D" w:rsidRDefault="001D722D">
      <w:pPr>
        <w:rPr>
          <w:sz w:val="22"/>
        </w:rPr>
      </w:pPr>
      <w:r>
        <w:rPr>
          <w:sz w:val="22"/>
        </w:rPr>
        <w:t>Notre PUI participe à de nombreuses commissions et à la vie de notre établissement</w:t>
      </w:r>
    </w:p>
    <w:p w:rsidR="001D722D" w:rsidRDefault="001D722D" w:rsidP="001D722D">
      <w:pPr>
        <w:tabs>
          <w:tab w:val="left" w:pos="284"/>
        </w:tabs>
        <w:rPr>
          <w:sz w:val="22"/>
        </w:rPr>
      </w:pPr>
    </w:p>
    <w:p w:rsidR="001D722D" w:rsidRPr="005F46DF" w:rsidRDefault="001D722D" w:rsidP="001D722D">
      <w:pPr>
        <w:pBdr>
          <w:bottom w:val="single" w:sz="4" w:space="1" w:color="auto"/>
        </w:pBdr>
        <w:tabs>
          <w:tab w:val="left" w:pos="284"/>
        </w:tabs>
        <w:ind w:left="284" w:hanging="284"/>
        <w:rPr>
          <w:b/>
        </w:rPr>
      </w:pPr>
      <w:r>
        <w:rPr>
          <w:b/>
        </w:rPr>
        <w:t>II.3</w:t>
      </w:r>
      <w:r w:rsidRPr="005F46DF">
        <w:rPr>
          <w:b/>
        </w:rPr>
        <w:t xml:space="preserve">. </w:t>
      </w:r>
      <w:r>
        <w:rPr>
          <w:b/>
        </w:rPr>
        <w:t>Qualités requises</w:t>
      </w:r>
    </w:p>
    <w:p w:rsidR="001D722D" w:rsidRDefault="001D722D" w:rsidP="001D722D">
      <w:pPr>
        <w:rPr>
          <w:sz w:val="22"/>
        </w:rPr>
      </w:pPr>
    </w:p>
    <w:p w:rsidR="009344B3" w:rsidRPr="0077579B" w:rsidRDefault="00D527C9" w:rsidP="0077579B">
      <w:pPr>
        <w:rPr>
          <w:color w:val="000000"/>
        </w:rPr>
      </w:pPr>
      <w:r>
        <w:rPr>
          <w:color w:val="000000"/>
        </w:rPr>
        <w:t>P</w:t>
      </w:r>
      <w:r w:rsidR="003E6E00">
        <w:rPr>
          <w:color w:val="000000"/>
        </w:rPr>
        <w:t>olyvalent</w:t>
      </w:r>
    </w:p>
    <w:p w:rsidR="009344B3" w:rsidRPr="009344B3" w:rsidRDefault="009344B3" w:rsidP="009344B3">
      <w:pPr>
        <w:pStyle w:val="Paragraphedeliste"/>
        <w:jc w:val="both"/>
        <w:rPr>
          <w:sz w:val="22"/>
        </w:rPr>
      </w:pPr>
    </w:p>
    <w:p w:rsidR="001C1448" w:rsidRPr="005F46DF" w:rsidRDefault="001C1448" w:rsidP="00D81367">
      <w:pPr>
        <w:pBdr>
          <w:bottom w:val="single" w:sz="4" w:space="1" w:color="auto"/>
        </w:pBdr>
        <w:tabs>
          <w:tab w:val="left" w:pos="284"/>
        </w:tabs>
        <w:ind w:left="284" w:hanging="284"/>
        <w:rPr>
          <w:b/>
        </w:rPr>
      </w:pPr>
      <w:r>
        <w:rPr>
          <w:b/>
        </w:rPr>
        <w:t>II.4</w:t>
      </w:r>
      <w:r w:rsidRPr="005F46DF">
        <w:rPr>
          <w:b/>
        </w:rPr>
        <w:t xml:space="preserve">. </w:t>
      </w:r>
      <w:r>
        <w:rPr>
          <w:b/>
        </w:rPr>
        <w:t>Qualifications ciblées et expérience</w:t>
      </w:r>
    </w:p>
    <w:p w:rsidR="00D81367" w:rsidRDefault="00D81367" w:rsidP="00D81367">
      <w:pPr>
        <w:pStyle w:val="Paragraphedeliste"/>
        <w:spacing w:after="240"/>
        <w:ind w:left="714"/>
        <w:jc w:val="both"/>
        <w:rPr>
          <w:sz w:val="22"/>
        </w:rPr>
      </w:pPr>
    </w:p>
    <w:p w:rsidR="001C1448" w:rsidRDefault="001C1448" w:rsidP="001D722D">
      <w:pPr>
        <w:pStyle w:val="Paragraphedeliste"/>
        <w:numPr>
          <w:ilvl w:val="0"/>
          <w:numId w:val="3"/>
        </w:numPr>
        <w:spacing w:after="240"/>
        <w:ind w:left="714" w:hanging="357"/>
        <w:jc w:val="both"/>
        <w:rPr>
          <w:sz w:val="22"/>
        </w:rPr>
      </w:pPr>
      <w:r w:rsidRPr="00D81367">
        <w:rPr>
          <w:sz w:val="22"/>
        </w:rPr>
        <w:t xml:space="preserve">DES </w:t>
      </w:r>
      <w:r w:rsidR="0077579B">
        <w:rPr>
          <w:sz w:val="22"/>
        </w:rPr>
        <w:t>de pharmacie hospitalière</w:t>
      </w:r>
    </w:p>
    <w:p w:rsidR="0077579B" w:rsidRDefault="0077579B" w:rsidP="001D722D">
      <w:pPr>
        <w:pStyle w:val="Paragraphedeliste"/>
        <w:numPr>
          <w:ilvl w:val="0"/>
          <w:numId w:val="3"/>
        </w:numPr>
        <w:spacing w:after="240"/>
        <w:ind w:left="714" w:hanging="357"/>
        <w:jc w:val="both"/>
        <w:rPr>
          <w:sz w:val="22"/>
        </w:rPr>
      </w:pPr>
      <w:r>
        <w:rPr>
          <w:sz w:val="22"/>
        </w:rPr>
        <w:t>Pharmacie clinique</w:t>
      </w:r>
    </w:p>
    <w:p w:rsidR="0077579B" w:rsidRDefault="0077579B" w:rsidP="001D722D">
      <w:pPr>
        <w:pStyle w:val="Paragraphedeliste"/>
        <w:numPr>
          <w:ilvl w:val="0"/>
          <w:numId w:val="3"/>
        </w:numPr>
        <w:spacing w:after="240"/>
        <w:ind w:left="714" w:hanging="357"/>
        <w:jc w:val="both"/>
        <w:rPr>
          <w:sz w:val="22"/>
        </w:rPr>
      </w:pPr>
      <w:r>
        <w:rPr>
          <w:sz w:val="22"/>
        </w:rPr>
        <w:t>Informatisation du circuit du médicament</w:t>
      </w:r>
    </w:p>
    <w:p w:rsidR="0077579B" w:rsidRPr="00D81367" w:rsidRDefault="0077579B" w:rsidP="001D722D">
      <w:pPr>
        <w:pStyle w:val="Paragraphedeliste"/>
        <w:numPr>
          <w:ilvl w:val="0"/>
          <w:numId w:val="3"/>
        </w:numPr>
        <w:spacing w:after="240"/>
        <w:ind w:left="714" w:hanging="357"/>
        <w:jc w:val="both"/>
        <w:rPr>
          <w:sz w:val="22"/>
        </w:rPr>
      </w:pPr>
      <w:r>
        <w:rPr>
          <w:sz w:val="22"/>
        </w:rPr>
        <w:t>Expérience en unité de reconstitution des chimiothérapies</w:t>
      </w:r>
    </w:p>
    <w:p w:rsidR="001C1448" w:rsidRDefault="00040201" w:rsidP="001D722D">
      <w:pPr>
        <w:pStyle w:val="Paragraphedeliste"/>
        <w:numPr>
          <w:ilvl w:val="0"/>
          <w:numId w:val="3"/>
        </w:numPr>
        <w:spacing w:after="240"/>
        <w:ind w:left="714" w:hanging="357"/>
        <w:jc w:val="both"/>
        <w:rPr>
          <w:sz w:val="22"/>
          <w:szCs w:val="22"/>
        </w:rPr>
      </w:pPr>
      <w:r>
        <w:rPr>
          <w:sz w:val="22"/>
        </w:rPr>
        <w:t xml:space="preserve">Expérience </w:t>
      </w:r>
      <w:r w:rsidR="0077579B">
        <w:rPr>
          <w:sz w:val="22"/>
        </w:rPr>
        <w:t xml:space="preserve">en pharmacie hospitalière </w:t>
      </w:r>
      <w:r w:rsidR="001C1448" w:rsidRPr="00D81367">
        <w:rPr>
          <w:sz w:val="22"/>
        </w:rPr>
        <w:t>en établissement</w:t>
      </w:r>
      <w:r w:rsidR="001C1448">
        <w:rPr>
          <w:sz w:val="22"/>
          <w:szCs w:val="22"/>
        </w:rPr>
        <w:t xml:space="preserve"> de santé </w:t>
      </w:r>
      <w:r w:rsidR="0077579B">
        <w:rPr>
          <w:sz w:val="22"/>
          <w:szCs w:val="22"/>
        </w:rPr>
        <w:t xml:space="preserve">général </w:t>
      </w:r>
      <w:r w:rsidR="001C1448">
        <w:rPr>
          <w:sz w:val="22"/>
          <w:szCs w:val="22"/>
        </w:rPr>
        <w:t>bienvenue</w:t>
      </w:r>
    </w:p>
    <w:p w:rsidR="00E51A32" w:rsidRPr="00E51A32" w:rsidRDefault="00E51A32" w:rsidP="00E51A32">
      <w:pPr>
        <w:pStyle w:val="Paragraphedeliste"/>
        <w:spacing w:after="240"/>
        <w:ind w:left="714"/>
        <w:jc w:val="both"/>
        <w:rPr>
          <w:sz w:val="22"/>
          <w:szCs w:val="22"/>
        </w:rPr>
      </w:pPr>
    </w:p>
    <w:p w:rsidR="001C1448" w:rsidRPr="005F46DF" w:rsidRDefault="001C1448" w:rsidP="001C1448">
      <w:pPr>
        <w:pBdr>
          <w:bottom w:val="single" w:sz="4" w:space="1" w:color="auto"/>
        </w:pBdr>
        <w:tabs>
          <w:tab w:val="left" w:pos="284"/>
        </w:tabs>
        <w:ind w:left="284" w:hanging="284"/>
        <w:rPr>
          <w:b/>
        </w:rPr>
      </w:pPr>
      <w:r>
        <w:rPr>
          <w:b/>
        </w:rPr>
        <w:t>II.5</w:t>
      </w:r>
      <w:r w:rsidRPr="005F46DF">
        <w:rPr>
          <w:b/>
        </w:rPr>
        <w:t xml:space="preserve">. </w:t>
      </w:r>
      <w:r>
        <w:rPr>
          <w:b/>
        </w:rPr>
        <w:t>Informations complémentaires</w:t>
      </w:r>
    </w:p>
    <w:p w:rsidR="00EF2008" w:rsidRDefault="00EF2008" w:rsidP="009344B3">
      <w:pPr>
        <w:jc w:val="both"/>
        <w:rPr>
          <w:color w:val="000000" w:themeColor="text1"/>
          <w:sz w:val="22"/>
          <w:szCs w:val="22"/>
        </w:rPr>
      </w:pPr>
    </w:p>
    <w:p w:rsidR="009344B3" w:rsidRDefault="009344B3" w:rsidP="001D722D">
      <w:pPr>
        <w:pStyle w:val="Paragraphedeliste"/>
        <w:numPr>
          <w:ilvl w:val="0"/>
          <w:numId w:val="3"/>
        </w:numPr>
        <w:spacing w:after="240"/>
        <w:ind w:left="714" w:hanging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Poste à pourvoir </w:t>
      </w:r>
      <w:r w:rsidR="001D722D">
        <w:rPr>
          <w:color w:val="000000" w:themeColor="text1"/>
          <w:sz w:val="22"/>
          <w:szCs w:val="22"/>
        </w:rPr>
        <w:t xml:space="preserve">au </w:t>
      </w:r>
      <w:r w:rsidR="00F41534">
        <w:rPr>
          <w:color w:val="FF0000"/>
          <w:sz w:val="22"/>
          <w:szCs w:val="22"/>
        </w:rPr>
        <w:t>1</w:t>
      </w:r>
      <w:r w:rsidR="002C6088">
        <w:rPr>
          <w:color w:val="FF0000"/>
          <w:sz w:val="22"/>
          <w:szCs w:val="22"/>
        </w:rPr>
        <w:t xml:space="preserve"> er</w:t>
      </w:r>
      <w:r w:rsidR="00F41534">
        <w:rPr>
          <w:color w:val="FF0000"/>
          <w:sz w:val="22"/>
          <w:szCs w:val="22"/>
        </w:rPr>
        <w:t xml:space="preserve"> octobre </w:t>
      </w:r>
      <w:r w:rsidR="002C6088">
        <w:rPr>
          <w:color w:val="FF0000"/>
          <w:sz w:val="22"/>
          <w:szCs w:val="22"/>
        </w:rPr>
        <w:t>201</w:t>
      </w:r>
      <w:r w:rsidR="00F41534">
        <w:rPr>
          <w:color w:val="FF0000"/>
          <w:sz w:val="22"/>
          <w:szCs w:val="22"/>
        </w:rPr>
        <w:t>9</w:t>
      </w:r>
    </w:p>
    <w:p w:rsidR="009344B3" w:rsidRDefault="009344B3" w:rsidP="009344B3">
      <w:pPr>
        <w:pStyle w:val="Paragraphedeliste"/>
        <w:spacing w:after="240"/>
        <w:ind w:left="714"/>
        <w:jc w:val="both"/>
        <w:rPr>
          <w:color w:val="000000" w:themeColor="text1"/>
          <w:sz w:val="22"/>
          <w:szCs w:val="22"/>
        </w:rPr>
      </w:pPr>
    </w:p>
    <w:p w:rsidR="00EF2008" w:rsidRDefault="00EF2008">
      <w:pPr>
        <w:rPr>
          <w:sz w:val="22"/>
        </w:rPr>
      </w:pPr>
    </w:p>
    <w:sectPr w:rsidR="00EF2008" w:rsidSect="000A12EF">
      <w:footerReference w:type="even" r:id="rId10"/>
      <w:footerReference w:type="default" r:id="rId11"/>
      <w:pgSz w:w="11906" w:h="16838"/>
      <w:pgMar w:top="1276" w:right="1558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CB" w:rsidRDefault="00B233CB">
      <w:r>
        <w:separator/>
      </w:r>
    </w:p>
  </w:endnote>
  <w:endnote w:type="continuationSeparator" w:id="0">
    <w:p w:rsidR="00B233CB" w:rsidRDefault="00B2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44" w:rsidRDefault="00DC3444" w:rsidP="00BB64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3444" w:rsidRDefault="00DC3444" w:rsidP="00BB64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44" w:rsidRDefault="00DC3444" w:rsidP="00951B9C">
    <w:pPr>
      <w:jc w:val="center"/>
      <w:rPr>
        <w:sz w:val="16"/>
      </w:rPr>
    </w:pPr>
  </w:p>
  <w:p w:rsidR="00DC3444" w:rsidRPr="00951B9C" w:rsidRDefault="00B233CB" w:rsidP="00B30B2F">
    <w:pPr>
      <w:ind w:left="2832"/>
      <w:jc w:val="center"/>
      <w:rPr>
        <w:sz w:val="16"/>
      </w:rPr>
    </w:pPr>
    <w:sdt>
      <w:sdtPr>
        <w:rPr>
          <w:sz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B30B2F">
          <w:rPr>
            <w:sz w:val="16"/>
          </w:rPr>
          <w:t xml:space="preserve">              </w:t>
        </w:r>
        <w:r w:rsidR="00DC3444" w:rsidRPr="00951B9C">
          <w:rPr>
            <w:sz w:val="16"/>
          </w:rPr>
          <w:t xml:space="preserve">Page </w:t>
        </w:r>
        <w:r w:rsidR="00DC3444" w:rsidRPr="00951B9C">
          <w:rPr>
            <w:sz w:val="16"/>
          </w:rPr>
          <w:fldChar w:fldCharType="begin"/>
        </w:r>
        <w:r w:rsidR="00DC3444" w:rsidRPr="00951B9C">
          <w:rPr>
            <w:sz w:val="16"/>
          </w:rPr>
          <w:instrText xml:space="preserve"> PAGE </w:instrText>
        </w:r>
        <w:r w:rsidR="00DC3444" w:rsidRPr="00951B9C">
          <w:rPr>
            <w:sz w:val="16"/>
          </w:rPr>
          <w:fldChar w:fldCharType="separate"/>
        </w:r>
        <w:r w:rsidR="00284087">
          <w:rPr>
            <w:noProof/>
            <w:sz w:val="16"/>
          </w:rPr>
          <w:t>1</w:t>
        </w:r>
        <w:r w:rsidR="00DC3444" w:rsidRPr="00951B9C">
          <w:rPr>
            <w:sz w:val="16"/>
          </w:rPr>
          <w:fldChar w:fldCharType="end"/>
        </w:r>
        <w:r w:rsidR="00DC3444" w:rsidRPr="00951B9C">
          <w:rPr>
            <w:sz w:val="16"/>
          </w:rPr>
          <w:t xml:space="preserve"> sur </w:t>
        </w:r>
        <w:r w:rsidR="00DC3444" w:rsidRPr="00951B9C">
          <w:rPr>
            <w:sz w:val="16"/>
          </w:rPr>
          <w:fldChar w:fldCharType="begin"/>
        </w:r>
        <w:r w:rsidR="00DC3444" w:rsidRPr="00951B9C">
          <w:rPr>
            <w:sz w:val="16"/>
          </w:rPr>
          <w:instrText xml:space="preserve"> NUMPAGES  </w:instrText>
        </w:r>
        <w:r w:rsidR="00DC3444" w:rsidRPr="00951B9C">
          <w:rPr>
            <w:sz w:val="16"/>
          </w:rPr>
          <w:fldChar w:fldCharType="separate"/>
        </w:r>
        <w:r w:rsidR="00284087">
          <w:rPr>
            <w:noProof/>
            <w:sz w:val="16"/>
          </w:rPr>
          <w:t>3</w:t>
        </w:r>
        <w:r w:rsidR="00DC3444" w:rsidRPr="00951B9C">
          <w:rPr>
            <w:sz w:val="16"/>
          </w:rPr>
          <w:fldChar w:fldCharType="end"/>
        </w:r>
        <w:r w:rsidR="0054171F">
          <w:rPr>
            <w:sz w:val="16"/>
          </w:rPr>
          <w:tab/>
        </w:r>
        <w:r w:rsidR="0054171F">
          <w:rPr>
            <w:sz w:val="16"/>
          </w:rPr>
          <w:tab/>
        </w:r>
        <w:r w:rsidR="0054171F">
          <w:rPr>
            <w:sz w:val="16"/>
          </w:rPr>
          <w:tab/>
        </w:r>
        <w:r w:rsidR="0054171F">
          <w:rPr>
            <w:sz w:val="16"/>
          </w:rPr>
          <w:tab/>
          <w:t>Date de mise à jour : 09</w:t>
        </w:r>
        <w:r w:rsidR="00B30B2F">
          <w:rPr>
            <w:sz w:val="16"/>
          </w:rPr>
          <w:t>/02/2017</w:t>
        </w:r>
      </w:sdtContent>
    </w:sdt>
  </w:p>
  <w:p w:rsidR="00DC3444" w:rsidRDefault="00DC3444" w:rsidP="00BB64F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CB" w:rsidRDefault="00B233CB">
      <w:r>
        <w:separator/>
      </w:r>
    </w:p>
  </w:footnote>
  <w:footnote w:type="continuationSeparator" w:id="0">
    <w:p w:rsidR="00B233CB" w:rsidRDefault="00B2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7F9"/>
    <w:multiLevelType w:val="hybridMultilevel"/>
    <w:tmpl w:val="64B27712"/>
    <w:lvl w:ilvl="0" w:tplc="2F507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A06DB"/>
    <w:multiLevelType w:val="hybridMultilevel"/>
    <w:tmpl w:val="7772BB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C20AD"/>
    <w:multiLevelType w:val="hybridMultilevel"/>
    <w:tmpl w:val="7A6CF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66381"/>
    <w:multiLevelType w:val="hybridMultilevel"/>
    <w:tmpl w:val="4FFCCB84"/>
    <w:lvl w:ilvl="0" w:tplc="2F507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22CB0"/>
    <w:multiLevelType w:val="hybridMultilevel"/>
    <w:tmpl w:val="0C50C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96642"/>
    <w:multiLevelType w:val="hybridMultilevel"/>
    <w:tmpl w:val="FDA2D17A"/>
    <w:lvl w:ilvl="0" w:tplc="E10E607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63DC6"/>
    <w:multiLevelType w:val="hybridMultilevel"/>
    <w:tmpl w:val="1BF60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D20FA"/>
    <w:multiLevelType w:val="hybridMultilevel"/>
    <w:tmpl w:val="B314B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2E"/>
    <w:rsid w:val="00003247"/>
    <w:rsid w:val="00024A12"/>
    <w:rsid w:val="00040201"/>
    <w:rsid w:val="000438F7"/>
    <w:rsid w:val="00056FC7"/>
    <w:rsid w:val="000730DE"/>
    <w:rsid w:val="000800D4"/>
    <w:rsid w:val="000924A8"/>
    <w:rsid w:val="000A12EF"/>
    <w:rsid w:val="000D23B9"/>
    <w:rsid w:val="00103134"/>
    <w:rsid w:val="001154D8"/>
    <w:rsid w:val="0012030A"/>
    <w:rsid w:val="00126F83"/>
    <w:rsid w:val="0013334E"/>
    <w:rsid w:val="001450E7"/>
    <w:rsid w:val="001558F7"/>
    <w:rsid w:val="00176C29"/>
    <w:rsid w:val="00181760"/>
    <w:rsid w:val="00185221"/>
    <w:rsid w:val="00192461"/>
    <w:rsid w:val="00194D32"/>
    <w:rsid w:val="0019580F"/>
    <w:rsid w:val="001A3562"/>
    <w:rsid w:val="001A4245"/>
    <w:rsid w:val="001A47FC"/>
    <w:rsid w:val="001C0F68"/>
    <w:rsid w:val="001C1448"/>
    <w:rsid w:val="001D38AA"/>
    <w:rsid w:val="001D722D"/>
    <w:rsid w:val="001D7C5A"/>
    <w:rsid w:val="001F2884"/>
    <w:rsid w:val="002011DB"/>
    <w:rsid w:val="00256437"/>
    <w:rsid w:val="00265BBD"/>
    <w:rsid w:val="00274C89"/>
    <w:rsid w:val="0028335A"/>
    <w:rsid w:val="00284087"/>
    <w:rsid w:val="00285A50"/>
    <w:rsid w:val="00295FE0"/>
    <w:rsid w:val="002A24AD"/>
    <w:rsid w:val="002A586E"/>
    <w:rsid w:val="002C6088"/>
    <w:rsid w:val="002D0B30"/>
    <w:rsid w:val="002D636A"/>
    <w:rsid w:val="002D67E3"/>
    <w:rsid w:val="002E007E"/>
    <w:rsid w:val="002E3422"/>
    <w:rsid w:val="002E6BD2"/>
    <w:rsid w:val="002F6D90"/>
    <w:rsid w:val="0030045A"/>
    <w:rsid w:val="00306BFB"/>
    <w:rsid w:val="0030796F"/>
    <w:rsid w:val="00341CDE"/>
    <w:rsid w:val="00342A12"/>
    <w:rsid w:val="003536DC"/>
    <w:rsid w:val="00362566"/>
    <w:rsid w:val="00371487"/>
    <w:rsid w:val="0037244F"/>
    <w:rsid w:val="00373D0B"/>
    <w:rsid w:val="003845D9"/>
    <w:rsid w:val="0039346E"/>
    <w:rsid w:val="003A02E1"/>
    <w:rsid w:val="003B4C55"/>
    <w:rsid w:val="003C2909"/>
    <w:rsid w:val="003C4808"/>
    <w:rsid w:val="003D271A"/>
    <w:rsid w:val="003D50AE"/>
    <w:rsid w:val="003E16CB"/>
    <w:rsid w:val="003E6E00"/>
    <w:rsid w:val="003F5844"/>
    <w:rsid w:val="00410B76"/>
    <w:rsid w:val="0041206E"/>
    <w:rsid w:val="004160E0"/>
    <w:rsid w:val="00423888"/>
    <w:rsid w:val="0042631F"/>
    <w:rsid w:val="004341A1"/>
    <w:rsid w:val="00435495"/>
    <w:rsid w:val="0044094B"/>
    <w:rsid w:val="0046365A"/>
    <w:rsid w:val="00463D53"/>
    <w:rsid w:val="004659A8"/>
    <w:rsid w:val="00484D3E"/>
    <w:rsid w:val="00495115"/>
    <w:rsid w:val="004A2FBA"/>
    <w:rsid w:val="004A7D7E"/>
    <w:rsid w:val="004B4E49"/>
    <w:rsid w:val="004C34D9"/>
    <w:rsid w:val="004E040B"/>
    <w:rsid w:val="0050022F"/>
    <w:rsid w:val="00501D74"/>
    <w:rsid w:val="00532D4E"/>
    <w:rsid w:val="00535811"/>
    <w:rsid w:val="00537E93"/>
    <w:rsid w:val="005412F0"/>
    <w:rsid w:val="0054171F"/>
    <w:rsid w:val="00557822"/>
    <w:rsid w:val="0056013E"/>
    <w:rsid w:val="005623C8"/>
    <w:rsid w:val="005633C9"/>
    <w:rsid w:val="00573B67"/>
    <w:rsid w:val="00582ECA"/>
    <w:rsid w:val="0059127B"/>
    <w:rsid w:val="00592FE3"/>
    <w:rsid w:val="00593DE7"/>
    <w:rsid w:val="005960A9"/>
    <w:rsid w:val="005B6866"/>
    <w:rsid w:val="005C25F7"/>
    <w:rsid w:val="005C30DF"/>
    <w:rsid w:val="005D66F1"/>
    <w:rsid w:val="005E11DD"/>
    <w:rsid w:val="005E3A82"/>
    <w:rsid w:val="005F46DF"/>
    <w:rsid w:val="005F5A23"/>
    <w:rsid w:val="006042F6"/>
    <w:rsid w:val="0060512D"/>
    <w:rsid w:val="00606D93"/>
    <w:rsid w:val="0061530A"/>
    <w:rsid w:val="00633659"/>
    <w:rsid w:val="00642D7F"/>
    <w:rsid w:val="00682772"/>
    <w:rsid w:val="00693C5C"/>
    <w:rsid w:val="00694BF6"/>
    <w:rsid w:val="006978DB"/>
    <w:rsid w:val="006A06AF"/>
    <w:rsid w:val="006A0767"/>
    <w:rsid w:val="006A2A91"/>
    <w:rsid w:val="006C2AB7"/>
    <w:rsid w:val="006D1CEE"/>
    <w:rsid w:val="006E125B"/>
    <w:rsid w:val="006E246D"/>
    <w:rsid w:val="006E3492"/>
    <w:rsid w:val="006F7FB9"/>
    <w:rsid w:val="00702E72"/>
    <w:rsid w:val="00706727"/>
    <w:rsid w:val="00721735"/>
    <w:rsid w:val="0073351D"/>
    <w:rsid w:val="00742B13"/>
    <w:rsid w:val="00760509"/>
    <w:rsid w:val="00770555"/>
    <w:rsid w:val="00771486"/>
    <w:rsid w:val="0077579B"/>
    <w:rsid w:val="00777E6B"/>
    <w:rsid w:val="00784099"/>
    <w:rsid w:val="007A043D"/>
    <w:rsid w:val="007A6305"/>
    <w:rsid w:val="007A74FE"/>
    <w:rsid w:val="007B7261"/>
    <w:rsid w:val="007D7710"/>
    <w:rsid w:val="00802331"/>
    <w:rsid w:val="0081688A"/>
    <w:rsid w:val="008454F9"/>
    <w:rsid w:val="00860C83"/>
    <w:rsid w:val="00874827"/>
    <w:rsid w:val="00880CE6"/>
    <w:rsid w:val="00881FC0"/>
    <w:rsid w:val="008C7AC4"/>
    <w:rsid w:val="008D4987"/>
    <w:rsid w:val="008E45CE"/>
    <w:rsid w:val="008F4BB0"/>
    <w:rsid w:val="00905DCD"/>
    <w:rsid w:val="009111B2"/>
    <w:rsid w:val="00926455"/>
    <w:rsid w:val="0092650A"/>
    <w:rsid w:val="00927EDF"/>
    <w:rsid w:val="009344B3"/>
    <w:rsid w:val="00951B9C"/>
    <w:rsid w:val="00955E13"/>
    <w:rsid w:val="009616C4"/>
    <w:rsid w:val="00961E1F"/>
    <w:rsid w:val="00963824"/>
    <w:rsid w:val="00973BC6"/>
    <w:rsid w:val="0099052E"/>
    <w:rsid w:val="009A252A"/>
    <w:rsid w:val="009A5BDC"/>
    <w:rsid w:val="009C2C16"/>
    <w:rsid w:val="009D46B2"/>
    <w:rsid w:val="009E4E4F"/>
    <w:rsid w:val="009E6B5B"/>
    <w:rsid w:val="009E7851"/>
    <w:rsid w:val="00A120F7"/>
    <w:rsid w:val="00A20BFA"/>
    <w:rsid w:val="00A22CA7"/>
    <w:rsid w:val="00A26F3C"/>
    <w:rsid w:val="00A41161"/>
    <w:rsid w:val="00A552F1"/>
    <w:rsid w:val="00A57E65"/>
    <w:rsid w:val="00A6093C"/>
    <w:rsid w:val="00A621A9"/>
    <w:rsid w:val="00A66AFB"/>
    <w:rsid w:val="00A72DC5"/>
    <w:rsid w:val="00A877A6"/>
    <w:rsid w:val="00A90F46"/>
    <w:rsid w:val="00A9484C"/>
    <w:rsid w:val="00AA44D9"/>
    <w:rsid w:val="00AB7305"/>
    <w:rsid w:val="00AC15B0"/>
    <w:rsid w:val="00AE0763"/>
    <w:rsid w:val="00AF35C2"/>
    <w:rsid w:val="00B049DA"/>
    <w:rsid w:val="00B063D0"/>
    <w:rsid w:val="00B11A6A"/>
    <w:rsid w:val="00B233CB"/>
    <w:rsid w:val="00B272EF"/>
    <w:rsid w:val="00B30B2F"/>
    <w:rsid w:val="00B333D4"/>
    <w:rsid w:val="00B36D63"/>
    <w:rsid w:val="00B50E4E"/>
    <w:rsid w:val="00BA76DB"/>
    <w:rsid w:val="00BB64F5"/>
    <w:rsid w:val="00BC0484"/>
    <w:rsid w:val="00BC4465"/>
    <w:rsid w:val="00BC5FFE"/>
    <w:rsid w:val="00C03CD6"/>
    <w:rsid w:val="00C051C5"/>
    <w:rsid w:val="00C06EB5"/>
    <w:rsid w:val="00C158D8"/>
    <w:rsid w:val="00C27CEE"/>
    <w:rsid w:val="00C36F0E"/>
    <w:rsid w:val="00C403B4"/>
    <w:rsid w:val="00C42C1E"/>
    <w:rsid w:val="00C43045"/>
    <w:rsid w:val="00C478BC"/>
    <w:rsid w:val="00C62B9E"/>
    <w:rsid w:val="00C651AD"/>
    <w:rsid w:val="00C657A8"/>
    <w:rsid w:val="00C6786C"/>
    <w:rsid w:val="00C87838"/>
    <w:rsid w:val="00C94146"/>
    <w:rsid w:val="00CA0FCD"/>
    <w:rsid w:val="00CA4F6C"/>
    <w:rsid w:val="00CB1945"/>
    <w:rsid w:val="00CB3E6D"/>
    <w:rsid w:val="00CD285E"/>
    <w:rsid w:val="00CD41D9"/>
    <w:rsid w:val="00CD7D33"/>
    <w:rsid w:val="00CE03BB"/>
    <w:rsid w:val="00CE3B64"/>
    <w:rsid w:val="00CF6644"/>
    <w:rsid w:val="00D05B65"/>
    <w:rsid w:val="00D10D81"/>
    <w:rsid w:val="00D14D8E"/>
    <w:rsid w:val="00D35054"/>
    <w:rsid w:val="00D408A0"/>
    <w:rsid w:val="00D51151"/>
    <w:rsid w:val="00D527C9"/>
    <w:rsid w:val="00D52BAF"/>
    <w:rsid w:val="00D66A77"/>
    <w:rsid w:val="00D718C8"/>
    <w:rsid w:val="00D81367"/>
    <w:rsid w:val="00DA26B3"/>
    <w:rsid w:val="00DA33E6"/>
    <w:rsid w:val="00DA4A76"/>
    <w:rsid w:val="00DB2B64"/>
    <w:rsid w:val="00DC1463"/>
    <w:rsid w:val="00DC3444"/>
    <w:rsid w:val="00DC3D47"/>
    <w:rsid w:val="00DF0AAE"/>
    <w:rsid w:val="00DF5FB7"/>
    <w:rsid w:val="00E01261"/>
    <w:rsid w:val="00E10FD2"/>
    <w:rsid w:val="00E11CE1"/>
    <w:rsid w:val="00E46FE0"/>
    <w:rsid w:val="00E51A32"/>
    <w:rsid w:val="00E613C5"/>
    <w:rsid w:val="00E71E1A"/>
    <w:rsid w:val="00EA029B"/>
    <w:rsid w:val="00EB61DF"/>
    <w:rsid w:val="00EC31F3"/>
    <w:rsid w:val="00ED6829"/>
    <w:rsid w:val="00EF2008"/>
    <w:rsid w:val="00EF6133"/>
    <w:rsid w:val="00F04DCF"/>
    <w:rsid w:val="00F172CA"/>
    <w:rsid w:val="00F27502"/>
    <w:rsid w:val="00F2793D"/>
    <w:rsid w:val="00F41534"/>
    <w:rsid w:val="00FB13A2"/>
    <w:rsid w:val="00FB2C3E"/>
    <w:rsid w:val="00FC094D"/>
    <w:rsid w:val="00FC21DF"/>
    <w:rsid w:val="00FC2F64"/>
    <w:rsid w:val="00FC53E2"/>
    <w:rsid w:val="00FE5127"/>
    <w:rsid w:val="00FE59FD"/>
    <w:rsid w:val="00FF09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01D7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0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F64E91"/>
    <w:rPr>
      <w:b/>
      <w:bCs/>
      <w:i w:val="0"/>
      <w:iCs w:val="0"/>
    </w:rPr>
  </w:style>
  <w:style w:type="paragraph" w:styleId="Pieddepage">
    <w:name w:val="footer"/>
    <w:basedOn w:val="Normal"/>
    <w:link w:val="PieddepageCar"/>
    <w:uiPriority w:val="99"/>
    <w:unhideWhenUsed/>
    <w:rsid w:val="00320A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0A12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320A12"/>
  </w:style>
  <w:style w:type="paragraph" w:customStyle="1" w:styleId="Grillemoyenne1-Accent21">
    <w:name w:val="Grille moyenne 1 - Accent 21"/>
    <w:basedOn w:val="Normal"/>
    <w:uiPriority w:val="34"/>
    <w:qFormat/>
    <w:rsid w:val="008F182E"/>
    <w:pPr>
      <w:ind w:left="720"/>
      <w:contextualSpacing/>
    </w:pPr>
    <w:rPr>
      <w:rFonts w:ascii="Cambria" w:eastAsia="Cambria" w:hAnsi="Cambria"/>
      <w:lang w:eastAsia="en-US"/>
    </w:rPr>
  </w:style>
  <w:style w:type="paragraph" w:styleId="Paragraphedeliste">
    <w:name w:val="List Paragraph"/>
    <w:basedOn w:val="Normal"/>
    <w:uiPriority w:val="34"/>
    <w:qFormat/>
    <w:rsid w:val="00951B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1B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1B9C"/>
    <w:rPr>
      <w:sz w:val="24"/>
      <w:szCs w:val="24"/>
    </w:rPr>
  </w:style>
  <w:style w:type="paragraph" w:customStyle="1" w:styleId="Default">
    <w:name w:val="Default"/>
    <w:rsid w:val="001450E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E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E1A"/>
    <w:rPr>
      <w:rFonts w:ascii="Tahoma" w:hAnsi="Tahoma" w:cs="Tahoma"/>
      <w:sz w:val="16"/>
      <w:szCs w:val="16"/>
    </w:rPr>
  </w:style>
  <w:style w:type="character" w:styleId="Lienhypertexte">
    <w:name w:val="Hyperlink"/>
    <w:rsid w:val="00265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01D7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0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F64E91"/>
    <w:rPr>
      <w:b/>
      <w:bCs/>
      <w:i w:val="0"/>
      <w:iCs w:val="0"/>
    </w:rPr>
  </w:style>
  <w:style w:type="paragraph" w:styleId="Pieddepage">
    <w:name w:val="footer"/>
    <w:basedOn w:val="Normal"/>
    <w:link w:val="PieddepageCar"/>
    <w:uiPriority w:val="99"/>
    <w:unhideWhenUsed/>
    <w:rsid w:val="00320A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0A12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320A12"/>
  </w:style>
  <w:style w:type="paragraph" w:customStyle="1" w:styleId="Grillemoyenne1-Accent21">
    <w:name w:val="Grille moyenne 1 - Accent 21"/>
    <w:basedOn w:val="Normal"/>
    <w:uiPriority w:val="34"/>
    <w:qFormat/>
    <w:rsid w:val="008F182E"/>
    <w:pPr>
      <w:ind w:left="720"/>
      <w:contextualSpacing/>
    </w:pPr>
    <w:rPr>
      <w:rFonts w:ascii="Cambria" w:eastAsia="Cambria" w:hAnsi="Cambria"/>
      <w:lang w:eastAsia="en-US"/>
    </w:rPr>
  </w:style>
  <w:style w:type="paragraph" w:styleId="Paragraphedeliste">
    <w:name w:val="List Paragraph"/>
    <w:basedOn w:val="Normal"/>
    <w:uiPriority w:val="34"/>
    <w:qFormat/>
    <w:rsid w:val="00951B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1B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1B9C"/>
    <w:rPr>
      <w:sz w:val="24"/>
      <w:szCs w:val="24"/>
    </w:rPr>
  </w:style>
  <w:style w:type="paragraph" w:customStyle="1" w:styleId="Default">
    <w:name w:val="Default"/>
    <w:rsid w:val="001450E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E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E1A"/>
    <w:rPr>
      <w:rFonts w:ascii="Tahoma" w:hAnsi="Tahoma" w:cs="Tahoma"/>
      <w:sz w:val="16"/>
      <w:szCs w:val="16"/>
    </w:rPr>
  </w:style>
  <w:style w:type="character" w:styleId="Lienhypertexte">
    <w:name w:val="Hyperlink"/>
    <w:rsid w:val="00265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0D9A-DA8D-412C-95B1-E8650B32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787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POSTE DE DIRECTEUR ADJOINT</vt:lpstr>
      <vt:lpstr>FICHE DE POSTE DE DIRECTEUR ADJOINT</vt:lpstr>
    </vt:vector>
  </TitlesOfParts>
  <Company>Hopitaux Civils de Colmar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DE DIRECTEUR ADJOINT</dc:title>
  <dc:creator>HCC</dc:creator>
  <cp:lastModifiedBy>Chauffert Olivier</cp:lastModifiedBy>
  <cp:revision>6</cp:revision>
  <cp:lastPrinted>2017-02-10T08:19:00Z</cp:lastPrinted>
  <dcterms:created xsi:type="dcterms:W3CDTF">2019-06-28T10:43:00Z</dcterms:created>
  <dcterms:modified xsi:type="dcterms:W3CDTF">2019-07-03T13:28:00Z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